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2E8" w:rsidRDefault="00B052E8" w:rsidP="00B052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before="156" w:after="156" w:line="360" w:lineRule="auto"/>
        <w:jc w:val="center"/>
        <w:rPr>
          <w:rFonts w:ascii="Times New Roman Bold Italic" w:hAnsi="Times New Roman Bold Italic"/>
          <w:sz w:val="32"/>
        </w:rPr>
      </w:pPr>
      <w:bookmarkStart w:id="0" w:name="OLE_LINK2"/>
      <w:bookmarkStart w:id="1" w:name="OLE_LINK3"/>
      <w:r>
        <w:rPr>
          <w:rFonts w:ascii="Times New Roman Bold" w:hAnsi="Times New Roman Bold"/>
          <w:sz w:val="32"/>
        </w:rPr>
        <w:t xml:space="preserve">MiRNA-mediated Changes in DNA Methylation Affect the Expression of Genes Involved in the Thickness of Pod Canopy Trait in </w:t>
      </w:r>
      <w:r w:rsidRPr="00351CCC">
        <w:rPr>
          <w:rFonts w:ascii="Times New Roman Bold Italic" w:hAnsi="Times New Roman Bold Italic"/>
          <w:i/>
          <w:sz w:val="32"/>
        </w:rPr>
        <w:t>Brassica napus</w:t>
      </w:r>
    </w:p>
    <w:bookmarkEnd w:id="0"/>
    <w:bookmarkEnd w:id="1"/>
    <w:p w:rsidR="00B052E8" w:rsidRDefault="00B052E8" w:rsidP="00B052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before="156" w:after="156" w:line="360" w:lineRule="auto"/>
        <w:jc w:val="left"/>
        <w:rPr>
          <w:rFonts w:ascii="Times New Roman Bold" w:hAnsi="Times New Roman Bold"/>
          <w:sz w:val="24"/>
        </w:rPr>
      </w:pPr>
      <w:r>
        <w:rPr>
          <w:rFonts w:ascii="Times New Roman Bold" w:hAnsi="Times New Roman Bold"/>
          <w:sz w:val="24"/>
        </w:rPr>
        <w:t>Zhiyou Chen</w:t>
      </w:r>
      <w:r>
        <w:rPr>
          <w:rFonts w:ascii="Times New Roman Bold" w:hAnsi="Times New Roman Bold"/>
          <w:sz w:val="24"/>
          <w:vertAlign w:val="superscript"/>
        </w:rPr>
        <w:t>1, 2, 3, 4</w:t>
      </w:r>
      <w:r>
        <w:rPr>
          <w:rFonts w:ascii="Times New Roman Bold" w:hAnsi="Times New Roman Bold"/>
          <w:sz w:val="24"/>
        </w:rPr>
        <w:t>, Ledong Jia</w:t>
      </w:r>
      <w:r>
        <w:rPr>
          <w:rFonts w:ascii="Times New Roman Bold" w:hAnsi="Times New Roman Bold"/>
          <w:sz w:val="24"/>
          <w:vertAlign w:val="superscript"/>
        </w:rPr>
        <w:t>1, 2</w:t>
      </w:r>
      <w:r>
        <w:rPr>
          <w:rFonts w:ascii="Times New Roman Bold" w:hAnsi="Times New Roman Bold"/>
          <w:sz w:val="24"/>
        </w:rPr>
        <w:t>, Yuanyuan Wan</w:t>
      </w:r>
      <w:r>
        <w:rPr>
          <w:rFonts w:ascii="Times New Roman Bold" w:hAnsi="Times New Roman Bold"/>
          <w:sz w:val="24"/>
          <w:vertAlign w:val="superscript"/>
        </w:rPr>
        <w:t>1, 2</w:t>
      </w:r>
      <w:r>
        <w:rPr>
          <w:rFonts w:ascii="Times New Roman Bold" w:hAnsi="Times New Roman Bold"/>
          <w:sz w:val="24"/>
        </w:rPr>
        <w:t>, Jinqi Ma</w:t>
      </w:r>
      <w:r>
        <w:rPr>
          <w:rFonts w:ascii="Times New Roman Bold" w:hAnsi="Times New Roman Bold"/>
          <w:sz w:val="24"/>
          <w:vertAlign w:val="superscript"/>
        </w:rPr>
        <w:t>1, 2</w:t>
      </w:r>
      <w:r>
        <w:rPr>
          <w:rFonts w:ascii="Times New Roman Bold" w:hAnsi="Times New Roman Bold"/>
          <w:sz w:val="24"/>
        </w:rPr>
        <w:t>, Kun Lu</w:t>
      </w:r>
      <w:r>
        <w:rPr>
          <w:rFonts w:ascii="Times New Roman Bold" w:hAnsi="Times New Roman Bold"/>
          <w:sz w:val="24"/>
          <w:vertAlign w:val="superscript"/>
        </w:rPr>
        <w:t>1, 2, 3, 4</w:t>
      </w:r>
      <w:r>
        <w:rPr>
          <w:rFonts w:ascii="Times New Roman Bold" w:hAnsi="Times New Roman Bold"/>
          <w:sz w:val="24"/>
        </w:rPr>
        <w:t>, Cunmin Qu</w:t>
      </w:r>
      <w:r>
        <w:rPr>
          <w:rFonts w:ascii="Times New Roman Bold" w:hAnsi="Times New Roman Bold"/>
          <w:sz w:val="24"/>
          <w:vertAlign w:val="superscript"/>
        </w:rPr>
        <w:t>1, 2, 3, 4</w:t>
      </w:r>
      <w:r>
        <w:rPr>
          <w:rFonts w:ascii="Times New Roman Bold" w:hAnsi="Times New Roman Bold"/>
          <w:sz w:val="24"/>
        </w:rPr>
        <w:t>*, Jiana Li</w:t>
      </w:r>
      <w:r>
        <w:rPr>
          <w:rFonts w:ascii="Times New Roman Bold" w:hAnsi="Times New Roman Bold"/>
          <w:sz w:val="24"/>
          <w:vertAlign w:val="superscript"/>
        </w:rPr>
        <w:t>1, 2, 3, 4</w:t>
      </w:r>
      <w:r>
        <w:rPr>
          <w:rFonts w:ascii="Times New Roman Bold" w:hAnsi="Times New Roman Bold"/>
          <w:sz w:val="24"/>
        </w:rPr>
        <w:t>*</w:t>
      </w:r>
      <w:bookmarkStart w:id="2" w:name="_GoBack"/>
      <w:bookmarkEnd w:id="2"/>
    </w:p>
    <w:p w:rsidR="00B052E8" w:rsidRDefault="00B052E8" w:rsidP="00B052E8">
      <w:pPr>
        <w:pStyle w:val="-11"/>
        <w:numPr>
          <w:ilvl w:val="0"/>
          <w:numId w:val="1"/>
        </w:numPr>
        <w:tabs>
          <w:tab w:val="clear" w:pos="420"/>
          <w:tab w:val="num"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before="156" w:after="156" w:line="360" w:lineRule="auto"/>
        <w:jc w:val="left"/>
        <w:rPr>
          <w:rFonts w:ascii="Times New Roman Bold" w:hAnsi="Times New Roman Bold"/>
          <w:sz w:val="24"/>
        </w:rPr>
      </w:pPr>
      <w:r>
        <w:rPr>
          <w:rFonts w:ascii="Times New Roman Bold" w:hAnsi="Times New Roman Bold"/>
          <w:sz w:val="24"/>
        </w:rPr>
        <w:t>College of Agronomy and Biotechnology, Southwest University, Chongqing 400715, China</w:t>
      </w:r>
    </w:p>
    <w:p w:rsidR="00B052E8" w:rsidRDefault="00B052E8" w:rsidP="00B052E8">
      <w:pPr>
        <w:pStyle w:val="-11"/>
        <w:numPr>
          <w:ilvl w:val="0"/>
          <w:numId w:val="1"/>
        </w:numPr>
        <w:tabs>
          <w:tab w:val="clear" w:pos="420"/>
          <w:tab w:val="num"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before="156" w:after="156" w:line="360" w:lineRule="auto"/>
        <w:jc w:val="left"/>
        <w:rPr>
          <w:rFonts w:ascii="Times New Roman Bold" w:hAnsi="Times New Roman Bold"/>
          <w:sz w:val="24"/>
        </w:rPr>
      </w:pPr>
      <w:r>
        <w:rPr>
          <w:rFonts w:ascii="Times New Roman Bold" w:hAnsi="Times New Roman Bold"/>
          <w:sz w:val="24"/>
        </w:rPr>
        <w:t>Academy of Agricultural Sciences, Southwest University, Chongqing 400715, China</w:t>
      </w:r>
    </w:p>
    <w:p w:rsidR="00B052E8" w:rsidRDefault="00B052E8" w:rsidP="00B052E8">
      <w:pPr>
        <w:pStyle w:val="-11"/>
        <w:numPr>
          <w:ilvl w:val="0"/>
          <w:numId w:val="1"/>
        </w:numPr>
        <w:tabs>
          <w:tab w:val="clear" w:pos="420"/>
          <w:tab w:val="num"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before="156" w:after="156" w:line="360" w:lineRule="auto"/>
        <w:jc w:val="left"/>
        <w:rPr>
          <w:rFonts w:ascii="Times New Roman Bold" w:hAnsi="Times New Roman Bold"/>
          <w:sz w:val="24"/>
        </w:rPr>
      </w:pPr>
      <w:r>
        <w:rPr>
          <w:rFonts w:ascii="Times New Roman Bold" w:hAnsi="Times New Roman Bold"/>
          <w:sz w:val="24"/>
        </w:rPr>
        <w:t>Engineering Research Center of South Upland Agriculture, Ministry of Education, Chongqing 400715, China</w:t>
      </w:r>
    </w:p>
    <w:p w:rsidR="00B052E8" w:rsidRDefault="00B052E8" w:rsidP="00B052E8">
      <w:pPr>
        <w:pStyle w:val="-11"/>
        <w:numPr>
          <w:ilvl w:val="0"/>
          <w:numId w:val="1"/>
        </w:numPr>
        <w:tabs>
          <w:tab w:val="clear" w:pos="420"/>
          <w:tab w:val="num"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before="156" w:after="156" w:line="360" w:lineRule="auto"/>
        <w:jc w:val="left"/>
        <w:rPr>
          <w:rFonts w:ascii="Times New Roman Bold" w:hAnsi="Times New Roman Bold"/>
          <w:sz w:val="24"/>
        </w:rPr>
      </w:pPr>
      <w:r>
        <w:rPr>
          <w:rFonts w:ascii="Times New Roman Bold" w:hAnsi="Times New Roman Bold"/>
          <w:sz w:val="24"/>
        </w:rPr>
        <w:t>State Cultivation Base of Crop Stress Biology for Southern Mountainous Land of Southwest University, Chongqing 400715, China</w:t>
      </w:r>
    </w:p>
    <w:p w:rsidR="00B052E8" w:rsidRDefault="00B052E8" w:rsidP="00B052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before="156" w:after="156" w:line="360" w:lineRule="auto"/>
        <w:jc w:val="left"/>
        <w:rPr>
          <w:rFonts w:ascii="Times New Roman Bold" w:hAnsi="Times New Roman Bold"/>
          <w:sz w:val="24"/>
        </w:rPr>
      </w:pPr>
      <w:r>
        <w:rPr>
          <w:rFonts w:ascii="Times New Roman Bold" w:hAnsi="Times New Roman Bold"/>
          <w:sz w:val="24"/>
        </w:rPr>
        <w:t xml:space="preserve">* Correspondence: </w:t>
      </w:r>
      <w:r w:rsidRPr="00EA0945">
        <w:rPr>
          <w:rFonts w:ascii="Times New Roman Bold" w:hAnsi="Times New Roman Bold"/>
          <w:sz w:val="24"/>
        </w:rPr>
        <w:t>drqucunmin@swu.edu.cn</w:t>
      </w:r>
      <w:r>
        <w:rPr>
          <w:rFonts w:ascii="Times New Roman Bold" w:hAnsi="Times New Roman Bold"/>
          <w:sz w:val="24"/>
        </w:rPr>
        <w:t xml:space="preserve"> (C.Q.); ljn1950@swu.edu.cn (J.L.)</w:t>
      </w:r>
    </w:p>
    <w:p w:rsidR="00B052E8" w:rsidRPr="00B052E8" w:rsidRDefault="00B052E8" w:rsidP="00D958DD">
      <w:pPr>
        <w:spacing w:beforeLines="50" w:before="156" w:afterLines="50" w:after="156" w:line="360" w:lineRule="auto"/>
        <w:ind w:leftChars="52" w:left="109" w:firstLineChars="200" w:firstLine="440"/>
        <w:jc w:val="center"/>
        <w:rPr>
          <w:rFonts w:ascii="Times New Roman" w:hAnsi="Times New Roman" w:cs="Times New Roman"/>
          <w:noProof/>
          <w:sz w:val="22"/>
        </w:rPr>
      </w:pPr>
    </w:p>
    <w:p w:rsidR="00B052E8" w:rsidRDefault="00B052E8" w:rsidP="00D958DD">
      <w:pPr>
        <w:spacing w:beforeLines="50" w:before="156" w:afterLines="50" w:after="156" w:line="360" w:lineRule="auto"/>
        <w:ind w:leftChars="52" w:left="109" w:firstLineChars="200" w:firstLine="440"/>
        <w:jc w:val="center"/>
        <w:rPr>
          <w:rFonts w:ascii="Times New Roman" w:hAnsi="Times New Roman" w:cs="Times New Roman"/>
          <w:noProof/>
          <w:sz w:val="22"/>
        </w:rPr>
      </w:pPr>
    </w:p>
    <w:p w:rsidR="00B052E8" w:rsidRDefault="00B052E8" w:rsidP="00D958DD">
      <w:pPr>
        <w:spacing w:beforeLines="50" w:before="156" w:afterLines="50" w:after="156" w:line="360" w:lineRule="auto"/>
        <w:ind w:leftChars="52" w:left="109" w:firstLineChars="200" w:firstLine="440"/>
        <w:jc w:val="center"/>
        <w:rPr>
          <w:rFonts w:ascii="Times New Roman" w:hAnsi="Times New Roman" w:cs="Times New Roman"/>
          <w:noProof/>
          <w:sz w:val="22"/>
        </w:rPr>
      </w:pPr>
    </w:p>
    <w:p w:rsidR="00B052E8" w:rsidRDefault="00B052E8" w:rsidP="00D958DD">
      <w:pPr>
        <w:spacing w:beforeLines="50" w:before="156" w:afterLines="50" w:after="156" w:line="360" w:lineRule="auto"/>
        <w:ind w:leftChars="52" w:left="109" w:firstLineChars="200" w:firstLine="440"/>
        <w:jc w:val="center"/>
        <w:rPr>
          <w:rFonts w:ascii="Times New Roman" w:hAnsi="Times New Roman" w:cs="Times New Roman"/>
          <w:noProof/>
          <w:sz w:val="22"/>
        </w:rPr>
      </w:pPr>
    </w:p>
    <w:p w:rsidR="00B052E8" w:rsidRPr="00B052E8" w:rsidRDefault="00D958DD" w:rsidP="00B052E8">
      <w:pPr>
        <w:spacing w:beforeLines="50" w:before="156" w:afterLines="50" w:after="156" w:line="360" w:lineRule="auto"/>
        <w:ind w:leftChars="52" w:left="109" w:firstLineChars="200" w:firstLine="440"/>
        <w:jc w:val="center"/>
        <w:rPr>
          <w:rFonts w:ascii="Times New Roman" w:hAnsi="Times New Roman" w:cs="Times New Roman" w:hint="eastAsia"/>
          <w:sz w:val="22"/>
        </w:rPr>
      </w:pPr>
      <w:r>
        <w:rPr>
          <w:rFonts w:ascii="Times New Roman" w:hAnsi="Times New Roman" w:cs="Times New Roman"/>
          <w:noProof/>
          <w:sz w:val="22"/>
        </w:rPr>
        <w:lastRenderedPageBreak/>
        <w:drawing>
          <wp:inline distT="0" distB="0" distL="0" distR="0" wp14:anchorId="708A9F51" wp14:editId="110EDD0A">
            <wp:extent cx="3354288" cy="4221384"/>
            <wp:effectExtent l="0" t="0" r="0" b="8255"/>
            <wp:docPr id="1" name="图片 1" descr="C:\Users\apple\Desktop\甲基化发表论文\library_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ple\Desktop\甲基化发表论文\library_pipelin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7929" cy="4225966"/>
                    </a:xfrm>
                    <a:prstGeom prst="rect">
                      <a:avLst/>
                    </a:prstGeom>
                    <a:noFill/>
                    <a:ln>
                      <a:noFill/>
                    </a:ln>
                  </pic:spPr>
                </pic:pic>
              </a:graphicData>
            </a:graphic>
          </wp:inline>
        </w:drawing>
      </w:r>
    </w:p>
    <w:p w:rsidR="00D958DD" w:rsidRPr="000B08FC" w:rsidRDefault="00D958DD" w:rsidP="00D958DD">
      <w:pPr>
        <w:spacing w:beforeLines="50" w:before="156" w:afterLines="50" w:after="156" w:line="360" w:lineRule="auto"/>
        <w:ind w:leftChars="52" w:left="109" w:firstLineChars="200" w:firstLine="440"/>
        <w:jc w:val="center"/>
        <w:rPr>
          <w:rFonts w:ascii="Times New Roman" w:hAnsi="Times New Roman" w:cs="Times New Roman"/>
          <w:b/>
          <w:sz w:val="22"/>
        </w:rPr>
      </w:pPr>
      <w:r w:rsidRPr="000B08FC">
        <w:rPr>
          <w:rFonts w:ascii="Times New Roman" w:hAnsi="Times New Roman" w:cs="Times New Roman" w:hint="eastAsia"/>
          <w:b/>
          <w:sz w:val="22"/>
        </w:rPr>
        <w:t>S</w:t>
      </w:r>
      <w:r w:rsidRPr="000B08FC">
        <w:rPr>
          <w:rFonts w:ascii="Times New Roman" w:hAnsi="Times New Roman" w:cs="Times New Roman"/>
          <w:b/>
          <w:sz w:val="22"/>
        </w:rPr>
        <w:t xml:space="preserve">upplementary </w:t>
      </w:r>
      <w:r>
        <w:rPr>
          <w:rFonts w:ascii="Times New Roman" w:hAnsi="Times New Roman" w:cs="Times New Roman"/>
          <w:b/>
          <w:sz w:val="22"/>
        </w:rPr>
        <w:t>f</w:t>
      </w:r>
      <w:r w:rsidRPr="000B08FC">
        <w:rPr>
          <w:rFonts w:ascii="Times New Roman" w:hAnsi="Times New Roman" w:cs="Times New Roman"/>
          <w:b/>
          <w:sz w:val="22"/>
        </w:rPr>
        <w:t>igure 1. Library construction flowchart</w:t>
      </w:r>
    </w:p>
    <w:p w:rsidR="00D958DD" w:rsidRDefault="00D958DD" w:rsidP="00D958DD">
      <w:pPr>
        <w:spacing w:beforeLines="50" w:before="156" w:afterLines="50" w:after="156" w:line="360" w:lineRule="auto"/>
        <w:ind w:leftChars="52" w:left="109" w:firstLineChars="100" w:firstLine="240"/>
        <w:rPr>
          <w:rFonts w:ascii="Times New Roman" w:hAnsi="Times New Roman" w:cs="Times New Roman"/>
          <w:sz w:val="22"/>
        </w:rPr>
      </w:pPr>
      <w:r w:rsidRPr="001E7CF7">
        <w:rPr>
          <w:rFonts w:ascii="Times New Roman" w:hAnsi="Times New Roman" w:cs="Times New Roman"/>
          <w:noProof/>
          <w:sz w:val="24"/>
          <w:szCs w:val="24"/>
        </w:rPr>
        <w:drawing>
          <wp:inline distT="0" distB="0" distL="0" distR="0" wp14:anchorId="3A76D4AF" wp14:editId="7BCA171C">
            <wp:extent cx="5274310" cy="2837815"/>
            <wp:effectExtent l="0" t="0" r="2540" b="635"/>
            <wp:docPr id="2" name="图片 2" descr="C:\Users\apple\Desktop\博士论文图片\analysis_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ple\Desktop\博士论文图片\analysis_pipelin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837815"/>
                    </a:xfrm>
                    <a:prstGeom prst="rect">
                      <a:avLst/>
                    </a:prstGeom>
                    <a:noFill/>
                    <a:ln>
                      <a:noFill/>
                    </a:ln>
                  </pic:spPr>
                </pic:pic>
              </a:graphicData>
            </a:graphic>
          </wp:inline>
        </w:drawing>
      </w:r>
    </w:p>
    <w:p w:rsidR="00D958DD" w:rsidRPr="000B08FC" w:rsidRDefault="00D958DD" w:rsidP="00D958DD">
      <w:pPr>
        <w:spacing w:beforeLines="50" w:before="156" w:afterLines="50" w:after="156" w:line="360" w:lineRule="auto"/>
        <w:ind w:leftChars="52" w:left="109" w:firstLineChars="100" w:firstLine="220"/>
        <w:rPr>
          <w:rFonts w:ascii="Times New Roman" w:hAnsi="Times New Roman" w:cs="Times New Roman"/>
          <w:b/>
          <w:sz w:val="22"/>
        </w:rPr>
      </w:pPr>
      <w:r w:rsidRPr="000B08FC">
        <w:rPr>
          <w:rFonts w:ascii="Times New Roman" w:hAnsi="Times New Roman" w:cs="Times New Roman" w:hint="eastAsia"/>
          <w:b/>
          <w:sz w:val="22"/>
        </w:rPr>
        <w:t>S</w:t>
      </w:r>
      <w:r w:rsidRPr="000B08FC">
        <w:rPr>
          <w:rFonts w:ascii="Times New Roman" w:hAnsi="Times New Roman" w:cs="Times New Roman"/>
          <w:b/>
          <w:sz w:val="22"/>
        </w:rPr>
        <w:t xml:space="preserve">upplementary figure 2. </w:t>
      </w:r>
      <w:r>
        <w:rPr>
          <w:rFonts w:ascii="Times New Roman" w:hAnsi="Times New Roman" w:cs="Times New Roman"/>
          <w:b/>
          <w:sz w:val="22"/>
        </w:rPr>
        <w:t>The process of biological information analysis</w:t>
      </w:r>
    </w:p>
    <w:p w:rsidR="00D958DD" w:rsidRDefault="00D958DD" w:rsidP="00D958DD">
      <w:pPr>
        <w:spacing w:beforeLines="50" w:before="156" w:afterLines="50" w:after="156" w:line="360" w:lineRule="auto"/>
        <w:ind w:leftChars="52" w:left="109" w:firstLineChars="50" w:firstLine="105"/>
        <w:rPr>
          <w:rFonts w:ascii="Times New Roman" w:hAnsi="Times New Roman" w:cs="Times New Roman"/>
          <w:sz w:val="22"/>
        </w:rPr>
      </w:pPr>
      <w:r w:rsidRPr="001E7CF7">
        <w:rPr>
          <w:rFonts w:ascii="Times New Roman" w:hAnsi="Times New Roman" w:cs="Times New Roman"/>
          <w:noProof/>
        </w:rPr>
        <w:lastRenderedPageBreak/>
        <w:drawing>
          <wp:inline distT="0" distB="0" distL="0" distR="0" wp14:anchorId="5A9CFF99" wp14:editId="5406888B">
            <wp:extent cx="5274310" cy="3136900"/>
            <wp:effectExtent l="0" t="0" r="2540" b="6350"/>
            <wp:docPr id="3" name="图片 3" descr="E:\Methy_result\123\src\images\Bis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thy_result\123\src\images\Bismar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136900"/>
                    </a:xfrm>
                    <a:prstGeom prst="rect">
                      <a:avLst/>
                    </a:prstGeom>
                    <a:noFill/>
                    <a:ln>
                      <a:noFill/>
                    </a:ln>
                  </pic:spPr>
                </pic:pic>
              </a:graphicData>
            </a:graphic>
          </wp:inline>
        </w:drawing>
      </w:r>
    </w:p>
    <w:p w:rsidR="00D958DD" w:rsidRPr="00D958DD" w:rsidRDefault="00D958DD" w:rsidP="00D958DD">
      <w:pPr>
        <w:spacing w:beforeLines="50" w:before="156" w:afterLines="50" w:after="156" w:line="360" w:lineRule="auto"/>
        <w:ind w:leftChars="52" w:left="109" w:firstLineChars="50" w:firstLine="110"/>
        <w:rPr>
          <w:rFonts w:ascii="Times New Roman" w:hAnsi="Times New Roman" w:cs="Times New Roman"/>
          <w:b/>
          <w:sz w:val="22"/>
        </w:rPr>
      </w:pPr>
      <w:r w:rsidRPr="00D958DD">
        <w:rPr>
          <w:rFonts w:ascii="Times New Roman" w:hAnsi="Times New Roman" w:cs="Times New Roman" w:hint="eastAsia"/>
          <w:b/>
          <w:sz w:val="22"/>
        </w:rPr>
        <w:t>S</w:t>
      </w:r>
      <w:r w:rsidRPr="00D958DD">
        <w:rPr>
          <w:rFonts w:ascii="Times New Roman" w:hAnsi="Times New Roman" w:cs="Times New Roman"/>
          <w:b/>
          <w:sz w:val="22"/>
        </w:rPr>
        <w:t>upplementary figure 3. The basic idea of Bismark comparison</w:t>
      </w:r>
    </w:p>
    <w:p w:rsidR="00505681" w:rsidRPr="00CD731C" w:rsidRDefault="00505681" w:rsidP="00505681">
      <w:pPr>
        <w:spacing w:beforeLines="50" w:before="156" w:afterLines="50" w:after="156" w:line="360" w:lineRule="auto"/>
        <w:ind w:firstLineChars="100" w:firstLine="240"/>
        <w:rPr>
          <w:rFonts w:ascii="Times New Roman" w:hAnsi="Times New Roman" w:cs="Times New Roman"/>
          <w:sz w:val="22"/>
        </w:rPr>
      </w:pPr>
      <w:r>
        <w:rPr>
          <w:rFonts w:ascii="Times New Roman" w:hAnsi="Times New Roman" w:cs="Times New Roman"/>
          <w:noProof/>
          <w:sz w:val="24"/>
          <w:szCs w:val="24"/>
        </w:rPr>
        <w:lastRenderedPageBreak/>
        <w:drawing>
          <wp:inline distT="0" distB="0" distL="0" distR="0" wp14:anchorId="33720D37" wp14:editId="3971BB2A">
            <wp:extent cx="4724400" cy="7361092"/>
            <wp:effectExtent l="0" t="0" r="0" b="0"/>
            <wp:docPr id="46" name="图片 46" descr="C:\Users\apple\Desktop\博士论文图片\图片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pple\Desktop\博士论文图片\图片3_副本.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7684" cy="7366208"/>
                    </a:xfrm>
                    <a:prstGeom prst="rect">
                      <a:avLst/>
                    </a:prstGeom>
                    <a:noFill/>
                    <a:ln>
                      <a:noFill/>
                    </a:ln>
                  </pic:spPr>
                </pic:pic>
              </a:graphicData>
            </a:graphic>
          </wp:inline>
        </w:drawing>
      </w:r>
    </w:p>
    <w:p w:rsidR="00505681" w:rsidRPr="001E7CF7" w:rsidRDefault="00505681" w:rsidP="00505681">
      <w:pPr>
        <w:widowControl/>
        <w:ind w:left="480" w:right="480"/>
        <w:jc w:val="left"/>
        <w:rPr>
          <w:rFonts w:ascii="Times New Roman" w:eastAsia="黑体" w:hAnsi="Times New Roman" w:cs="Times New Roman"/>
          <w:color w:val="262626"/>
          <w:kern w:val="0"/>
          <w:sz w:val="18"/>
          <w:szCs w:val="18"/>
        </w:rPr>
      </w:pPr>
      <w:r w:rsidRPr="00FE4CC3">
        <w:rPr>
          <w:rFonts w:ascii="Times New Roman" w:eastAsia="黑体" w:hAnsi="Times New Roman" w:cs="Times New Roman"/>
          <w:b/>
          <w:color w:val="262626"/>
          <w:kern w:val="0"/>
          <w:sz w:val="18"/>
          <w:szCs w:val="18"/>
        </w:rPr>
        <w:t xml:space="preserve">Supplementary figure 4. </w:t>
      </w:r>
      <w:r w:rsidRPr="001E7CF7">
        <w:rPr>
          <w:rFonts w:ascii="Times New Roman" w:eastAsia="黑体" w:hAnsi="Times New Roman" w:cs="Times New Roman"/>
          <w:color w:val="262626"/>
          <w:kern w:val="0"/>
          <w:sz w:val="18"/>
          <w:szCs w:val="18"/>
        </w:rPr>
        <w:t>The distribution of sample methylation levels 2K upstream and downstream of the genebody. The abscissa represents different regions and the ordinate represents methylation levels. Each region of each gene was equally divided into 50 bins, and then the C-site levels of the corresponding bins of all regions were averaged, and the different colors represent different sequence contexts (CpG, CHG, CHH).</w:t>
      </w:r>
    </w:p>
    <w:p w:rsidR="00505681" w:rsidRPr="00A94BE2" w:rsidRDefault="00505681" w:rsidP="00505681">
      <w:pPr>
        <w:spacing w:beforeLines="50" w:before="156" w:afterLines="50" w:after="156" w:line="360" w:lineRule="auto"/>
        <w:ind w:firstLineChars="100" w:firstLine="240"/>
        <w:rPr>
          <w:rFonts w:ascii="Times New Roman" w:hAnsi="Times New Roman" w:cs="Times New Roman"/>
          <w:sz w:val="22"/>
        </w:rPr>
      </w:pPr>
      <w:r>
        <w:rPr>
          <w:rFonts w:ascii="Times New Roman" w:hAnsi="Times New Roman" w:cs="Times New Roman"/>
          <w:noProof/>
          <w:sz w:val="24"/>
          <w:szCs w:val="24"/>
        </w:rPr>
        <w:lastRenderedPageBreak/>
        <w:drawing>
          <wp:inline distT="0" distB="0" distL="0" distR="0" wp14:anchorId="1C79D51B" wp14:editId="08F12682">
            <wp:extent cx="5274310" cy="4567802"/>
            <wp:effectExtent l="0" t="0" r="2540" b="4445"/>
            <wp:docPr id="48" name="图片 48" descr="C:\Users\apple\Desktop\博士论文图片\图片4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pple\Desktop\博士论文图片\图片4_副本.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567802"/>
                    </a:xfrm>
                    <a:prstGeom prst="rect">
                      <a:avLst/>
                    </a:prstGeom>
                    <a:noFill/>
                    <a:ln>
                      <a:noFill/>
                    </a:ln>
                  </pic:spPr>
                </pic:pic>
              </a:graphicData>
            </a:graphic>
          </wp:inline>
        </w:drawing>
      </w:r>
    </w:p>
    <w:p w:rsidR="00505681" w:rsidRPr="001E7CF7" w:rsidRDefault="00505681" w:rsidP="00505681">
      <w:pPr>
        <w:spacing w:beforeLines="50" w:before="156" w:afterLines="50" w:after="156" w:line="400" w:lineRule="exact"/>
        <w:jc w:val="center"/>
        <w:rPr>
          <w:rFonts w:ascii="Times New Roman" w:eastAsia="黑体" w:hAnsi="Times New Roman" w:cs="Times New Roman"/>
          <w:sz w:val="18"/>
          <w:szCs w:val="18"/>
        </w:rPr>
      </w:pPr>
      <w:r w:rsidRPr="00FE4CC3">
        <w:rPr>
          <w:rFonts w:ascii="Times New Roman" w:eastAsia="黑体" w:hAnsi="Times New Roman" w:cs="Times New Roman"/>
          <w:b/>
          <w:sz w:val="18"/>
          <w:szCs w:val="18"/>
        </w:rPr>
        <w:t>Supplementary Figure 5.</w:t>
      </w:r>
      <w:r w:rsidRPr="001E7CF7">
        <w:rPr>
          <w:rFonts w:ascii="Times New Roman" w:eastAsia="黑体" w:hAnsi="Times New Roman" w:cs="Times New Roman"/>
          <w:sz w:val="18"/>
          <w:szCs w:val="18"/>
        </w:rPr>
        <w:t xml:space="preserve"> Comparison of the overall level of methylation between the two groups of materials. AC, from the outside to the inside, said: methylation level of treatment group, methylation level difference between sample groups, methylation level of control group; internal scale: DNA methylation level indicates methylation level The DNA methylation difference indicates the degree of methylation level difference between samples; DF, the abscissa represents different genomic components, and the ordinate represents methylation level. Each region of each gene is equally divided into 20 bins, and then the C-site levels of the corresponding bins of all regions are averaged, different colors represent groups; GI, abscissa represents different regions, and ordinate represents A The level of basicization. Each region of each gene was equally divided into 50 bins, and then the C-site levels of the corresponding bins of all regions were averaged, with different colors representing the groups.</w:t>
      </w:r>
    </w:p>
    <w:p w:rsidR="00505681" w:rsidRDefault="00505681" w:rsidP="00E57A4E">
      <w:pPr>
        <w:spacing w:beforeLines="50" w:before="156" w:afterLines="50" w:after="156" w:line="360" w:lineRule="auto"/>
        <w:ind w:firstLineChars="100" w:firstLine="240"/>
        <w:rPr>
          <w:rFonts w:ascii="Times New Roman" w:hAnsi="Times New Roman" w:cs="Times New Roman"/>
          <w:sz w:val="22"/>
        </w:rPr>
      </w:pPr>
      <w:r>
        <w:rPr>
          <w:rFonts w:ascii="Times New Roman" w:hAnsi="Times New Roman" w:cs="Times New Roman"/>
          <w:noProof/>
          <w:sz w:val="24"/>
          <w:szCs w:val="24"/>
        </w:rPr>
        <w:lastRenderedPageBreak/>
        <w:drawing>
          <wp:inline distT="0" distB="0" distL="0" distR="0" wp14:anchorId="1CF2DCED" wp14:editId="2C1225F9">
            <wp:extent cx="4353636" cy="7210324"/>
            <wp:effectExtent l="0" t="0" r="8890" b="0"/>
            <wp:docPr id="50" name="图片 50" descr="C:\Users\apple\Desktop\博士论文图片\图片6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pple\Desktop\博士论文图片\图片6_副本.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0668" cy="7221970"/>
                    </a:xfrm>
                    <a:prstGeom prst="rect">
                      <a:avLst/>
                    </a:prstGeom>
                    <a:noFill/>
                    <a:ln>
                      <a:noFill/>
                    </a:ln>
                  </pic:spPr>
                </pic:pic>
              </a:graphicData>
            </a:graphic>
          </wp:inline>
        </w:drawing>
      </w:r>
    </w:p>
    <w:p w:rsidR="00505681" w:rsidRPr="001E7CF7" w:rsidRDefault="00505681" w:rsidP="00505681">
      <w:pPr>
        <w:spacing w:beforeLines="50" w:before="156" w:afterLines="50" w:after="156"/>
        <w:jc w:val="left"/>
        <w:rPr>
          <w:rFonts w:ascii="Times New Roman" w:eastAsia="黑体" w:hAnsi="Times New Roman" w:cs="Times New Roman"/>
          <w:sz w:val="18"/>
          <w:szCs w:val="18"/>
        </w:rPr>
      </w:pPr>
      <w:r w:rsidRPr="00FE4CC3">
        <w:rPr>
          <w:rFonts w:ascii="Times New Roman" w:eastAsia="黑体" w:hAnsi="Times New Roman" w:cs="Times New Roman"/>
          <w:b/>
          <w:sz w:val="18"/>
          <w:szCs w:val="18"/>
        </w:rPr>
        <w:t>Supplementary Figure 6.</w:t>
      </w:r>
      <w:r w:rsidRPr="001E7CF7">
        <w:rPr>
          <w:rFonts w:ascii="Times New Roman" w:eastAsia="黑体" w:hAnsi="Times New Roman" w:cs="Times New Roman"/>
          <w:sz w:val="18"/>
          <w:szCs w:val="18"/>
        </w:rPr>
        <w:t xml:space="preserve"> Sequence Environment (CG/CHG/CHH) DMR overall Circos display. Graphical display, from the outside to the inside: (1) Hyper DMR statistic log5 ( |areaStat|). The higher the outward dot is, the more significant the position difference is. The CG sequence DMR is red circle, CHG is blue circle, CHH is purple circle; (2) gene density heat map (color indicates see scale); (3) Hypo The DMR statistic is log5( |areaStat|). The higher the inward dot is, the more significant the position difference is. The CG sequence DMR is red circle, CHG is blue circle, and CHH is purple circle.</w:t>
      </w:r>
    </w:p>
    <w:tbl>
      <w:tblPr>
        <w:tblpPr w:leftFromText="180" w:rightFromText="180" w:vertAnchor="text" w:horzAnchor="margin" w:tblpXSpec="center" w:tblpY="405"/>
        <w:tblW w:w="5000" w:type="pct"/>
        <w:tblLook w:val="04A0" w:firstRow="1" w:lastRow="0" w:firstColumn="1" w:lastColumn="0" w:noHBand="0" w:noVBand="1"/>
      </w:tblPr>
      <w:tblGrid>
        <w:gridCol w:w="1486"/>
        <w:gridCol w:w="846"/>
        <w:gridCol w:w="1696"/>
        <w:gridCol w:w="1456"/>
        <w:gridCol w:w="2822"/>
      </w:tblGrid>
      <w:tr w:rsidR="00505681" w:rsidRPr="001E7CF7" w:rsidTr="00E57A4E">
        <w:trPr>
          <w:trHeight w:val="645"/>
        </w:trPr>
        <w:tc>
          <w:tcPr>
            <w:tcW w:w="5000" w:type="pct"/>
            <w:gridSpan w:val="5"/>
            <w:tcBorders>
              <w:top w:val="nil"/>
              <w:left w:val="nil"/>
              <w:bottom w:val="single" w:sz="4" w:space="0" w:color="auto"/>
              <w:right w:val="nil"/>
            </w:tcBorders>
            <w:shd w:val="clear" w:color="auto" w:fill="auto"/>
            <w:vAlign w:val="bottom"/>
            <w:hideMark/>
          </w:tcPr>
          <w:p w:rsidR="00505681" w:rsidRDefault="00505681" w:rsidP="00E57A4E">
            <w:pPr>
              <w:widowControl/>
              <w:spacing w:line="240" w:lineRule="exact"/>
              <w:rPr>
                <w:rFonts w:ascii="Times New Roman" w:eastAsia="黑体" w:hAnsi="Times New Roman" w:cs="Times New Roman"/>
                <w:color w:val="000000"/>
                <w:kern w:val="0"/>
                <w:szCs w:val="21"/>
              </w:rPr>
            </w:pPr>
          </w:p>
          <w:p w:rsidR="00505681" w:rsidRDefault="00505681" w:rsidP="00E57A4E">
            <w:pPr>
              <w:widowControl/>
              <w:spacing w:line="240" w:lineRule="exact"/>
              <w:rPr>
                <w:rFonts w:ascii="Times New Roman" w:eastAsia="黑体" w:hAnsi="Times New Roman" w:cs="Times New Roman"/>
                <w:color w:val="000000"/>
                <w:kern w:val="0"/>
                <w:szCs w:val="21"/>
              </w:rPr>
            </w:pPr>
          </w:p>
          <w:p w:rsidR="00505681" w:rsidRDefault="00505681" w:rsidP="00E57A4E">
            <w:pPr>
              <w:widowControl/>
              <w:spacing w:line="240" w:lineRule="exact"/>
              <w:rPr>
                <w:rFonts w:ascii="Times New Roman" w:eastAsia="黑体" w:hAnsi="Times New Roman" w:cs="Times New Roman"/>
                <w:color w:val="000000"/>
                <w:kern w:val="0"/>
                <w:szCs w:val="21"/>
              </w:rPr>
            </w:pPr>
          </w:p>
          <w:p w:rsidR="00505681" w:rsidRDefault="00505681" w:rsidP="00E57A4E">
            <w:pPr>
              <w:widowControl/>
              <w:spacing w:line="240" w:lineRule="exact"/>
              <w:rPr>
                <w:rFonts w:ascii="Times New Roman" w:eastAsia="黑体" w:hAnsi="Times New Roman" w:cs="Times New Roman"/>
                <w:color w:val="000000"/>
                <w:kern w:val="0"/>
                <w:szCs w:val="21"/>
              </w:rPr>
            </w:pPr>
          </w:p>
          <w:p w:rsidR="00505681" w:rsidRDefault="00505681" w:rsidP="00E57A4E">
            <w:pPr>
              <w:widowControl/>
              <w:spacing w:line="240" w:lineRule="exact"/>
              <w:rPr>
                <w:rFonts w:ascii="Times New Roman" w:eastAsia="黑体" w:hAnsi="Times New Roman" w:cs="Times New Roman"/>
                <w:color w:val="000000"/>
                <w:kern w:val="0"/>
                <w:szCs w:val="21"/>
              </w:rPr>
            </w:pPr>
          </w:p>
          <w:p w:rsidR="00505681" w:rsidRDefault="00505681" w:rsidP="00E57A4E">
            <w:pPr>
              <w:widowControl/>
              <w:spacing w:line="240" w:lineRule="exact"/>
              <w:rPr>
                <w:rFonts w:ascii="Times New Roman" w:eastAsia="黑体" w:hAnsi="Times New Roman" w:cs="Times New Roman"/>
                <w:color w:val="000000"/>
                <w:kern w:val="0"/>
                <w:szCs w:val="21"/>
              </w:rPr>
            </w:pPr>
          </w:p>
          <w:p w:rsidR="00505681" w:rsidRDefault="00505681"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E57A4E" w:rsidRDefault="00E57A4E" w:rsidP="00E57A4E">
            <w:pPr>
              <w:widowControl/>
              <w:spacing w:line="240" w:lineRule="exact"/>
              <w:rPr>
                <w:rFonts w:ascii="Times New Roman" w:eastAsia="黑体" w:hAnsi="Times New Roman" w:cs="Times New Roman"/>
                <w:color w:val="000000"/>
                <w:kern w:val="0"/>
                <w:szCs w:val="21"/>
              </w:rPr>
            </w:pPr>
          </w:p>
          <w:p w:rsidR="00505681" w:rsidRPr="001E7CF7" w:rsidRDefault="00505681" w:rsidP="00E57A4E">
            <w:pPr>
              <w:widowControl/>
              <w:spacing w:line="240" w:lineRule="exact"/>
              <w:rPr>
                <w:rFonts w:ascii="Times New Roman" w:eastAsia="黑体" w:hAnsi="Times New Roman" w:cs="Times New Roman"/>
                <w:color w:val="000000"/>
                <w:kern w:val="0"/>
                <w:szCs w:val="21"/>
              </w:rPr>
            </w:pPr>
            <w:r w:rsidRPr="0056252E">
              <w:rPr>
                <w:rFonts w:ascii="Times New Roman" w:eastAsia="黑体" w:hAnsi="Times New Roman" w:cs="Times New Roman"/>
                <w:color w:val="000000"/>
                <w:kern w:val="0"/>
                <w:szCs w:val="21"/>
              </w:rPr>
              <w:t xml:space="preserve">Supplementary </w:t>
            </w:r>
            <w:r>
              <w:rPr>
                <w:rFonts w:ascii="Times New Roman" w:eastAsia="黑体" w:hAnsi="Times New Roman" w:cs="Times New Roman"/>
                <w:color w:val="000000"/>
                <w:kern w:val="0"/>
                <w:szCs w:val="21"/>
              </w:rPr>
              <w:t>T</w:t>
            </w:r>
            <w:r w:rsidRPr="0056252E">
              <w:rPr>
                <w:rFonts w:ascii="Times New Roman" w:eastAsia="黑体" w:hAnsi="Times New Roman" w:cs="Times New Roman"/>
                <w:color w:val="000000"/>
                <w:kern w:val="0"/>
                <w:szCs w:val="21"/>
              </w:rPr>
              <w:t>able 1</w:t>
            </w:r>
            <w:r>
              <w:rPr>
                <w:rFonts w:ascii="Times New Roman" w:eastAsia="黑体" w:hAnsi="Times New Roman" w:cs="Times New Roman"/>
                <w:color w:val="000000"/>
                <w:kern w:val="0"/>
                <w:szCs w:val="21"/>
              </w:rPr>
              <w:t>.</w:t>
            </w:r>
            <w:r w:rsidRPr="001E7CF7">
              <w:rPr>
                <w:rFonts w:ascii="Times New Roman" w:eastAsia="黑体" w:hAnsi="Times New Roman" w:cs="Times New Roman"/>
                <w:color w:val="000000"/>
                <w:kern w:val="0"/>
                <w:szCs w:val="21"/>
              </w:rPr>
              <w:t xml:space="preserve"> Changes of  methylation in promoter region  affect gene expression</w:t>
            </w:r>
          </w:p>
        </w:tc>
      </w:tr>
      <w:tr w:rsidR="00505681" w:rsidRPr="001E7CF7" w:rsidTr="00E57A4E">
        <w:trPr>
          <w:trHeight w:val="300"/>
        </w:trPr>
        <w:tc>
          <w:tcPr>
            <w:tcW w:w="872" w:type="pct"/>
            <w:tcBorders>
              <w:top w:val="nil"/>
              <w:left w:val="nil"/>
              <w:bottom w:val="single" w:sz="4" w:space="0" w:color="auto"/>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Gene_id</w:t>
            </w:r>
          </w:p>
        </w:tc>
        <w:tc>
          <w:tcPr>
            <w:tcW w:w="503" w:type="pct"/>
            <w:tcBorders>
              <w:top w:val="nil"/>
              <w:left w:val="nil"/>
              <w:bottom w:val="single" w:sz="4" w:space="0" w:color="auto"/>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Sites</w:t>
            </w:r>
          </w:p>
        </w:tc>
        <w:tc>
          <w:tcPr>
            <w:tcW w:w="995" w:type="pct"/>
            <w:tcBorders>
              <w:top w:val="nil"/>
              <w:left w:val="nil"/>
              <w:bottom w:val="single" w:sz="4" w:space="0" w:color="auto"/>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Methylation_change</w:t>
            </w:r>
          </w:p>
        </w:tc>
        <w:tc>
          <w:tcPr>
            <w:tcW w:w="854" w:type="pct"/>
            <w:tcBorders>
              <w:top w:val="nil"/>
              <w:left w:val="nil"/>
              <w:bottom w:val="single" w:sz="4" w:space="0" w:color="auto"/>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Gene_expression</w:t>
            </w:r>
          </w:p>
        </w:tc>
        <w:tc>
          <w:tcPr>
            <w:tcW w:w="1776" w:type="pct"/>
            <w:tcBorders>
              <w:top w:val="nil"/>
              <w:left w:val="nil"/>
              <w:bottom w:val="single" w:sz="4" w:space="0" w:color="auto"/>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Comparison with Arabidopsis genes</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BnaC04g17440D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BnaC04g55380D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microtubule-associated protein 65-4 (</w:t>
            </w:r>
            <w:bookmarkStart w:id="3" w:name="OLE_LINK124"/>
            <w:r w:rsidRPr="001E7CF7">
              <w:rPr>
                <w:rFonts w:ascii="Times New Roman" w:eastAsia="宋体" w:hAnsi="Times New Roman" w:cs="Times New Roman"/>
                <w:kern w:val="0"/>
                <w:sz w:val="18"/>
                <w:szCs w:val="18"/>
              </w:rPr>
              <w:t>MAP65-4</w:t>
            </w:r>
            <w:bookmarkEnd w:id="3"/>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BnaCnng64040D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Lipase family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lastRenderedPageBreak/>
              <w:t>BnaCnng10140D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BnaC04g27680D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BnaC05g36710D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bookmarkStart w:id="4" w:name="OLE_LINK125"/>
            <w:bookmarkStart w:id="5" w:name="OLE_LINK126"/>
            <w:r w:rsidRPr="001E7CF7">
              <w:rPr>
                <w:rFonts w:ascii="Times New Roman" w:eastAsia="宋体" w:hAnsi="Times New Roman" w:cs="Times New Roman"/>
                <w:kern w:val="0"/>
                <w:sz w:val="18"/>
                <w:szCs w:val="18"/>
              </w:rPr>
              <w:t>myb family transcription factor</w:t>
            </w:r>
            <w:bookmarkEnd w:id="4"/>
            <w:bookmarkEnd w:id="5"/>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BnaC06g03310D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BnaAnng09670D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SWELLMAP 1 (</w:t>
            </w:r>
            <w:bookmarkStart w:id="6" w:name="OLE_LINK74"/>
            <w:r w:rsidRPr="001E7CF7">
              <w:rPr>
                <w:rFonts w:ascii="Times New Roman" w:eastAsia="宋体" w:hAnsi="Times New Roman" w:cs="Times New Roman"/>
                <w:kern w:val="0"/>
                <w:sz w:val="18"/>
                <w:szCs w:val="18"/>
              </w:rPr>
              <w:t>SMP1</w:t>
            </w:r>
            <w:bookmarkEnd w:id="6"/>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BnaAnng30250D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BnaCnng72240D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BnaA07g07800D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269"/>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BnaCnng50740D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RNA-directed DNA polymerase (reverse transcriptase)-related family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BnaA10g28170D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Alba DNA/RNA-binding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BnaA09g02000D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succinate dehydrogenase 2-2 (</w:t>
            </w:r>
            <w:bookmarkStart w:id="7" w:name="OLE_LINK77"/>
            <w:bookmarkStart w:id="8" w:name="OLE_LINK127"/>
            <w:bookmarkStart w:id="9" w:name="OLE_LINK106"/>
            <w:r w:rsidRPr="001E7CF7">
              <w:rPr>
                <w:rFonts w:ascii="Times New Roman" w:eastAsia="宋体" w:hAnsi="Times New Roman" w:cs="Times New Roman"/>
                <w:kern w:val="0"/>
                <w:sz w:val="18"/>
                <w:szCs w:val="18"/>
              </w:rPr>
              <w:t>SDH2-2</w:t>
            </w:r>
            <w:bookmarkEnd w:id="7"/>
            <w:bookmarkEnd w:id="8"/>
            <w:bookmarkEnd w:id="9"/>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BnaCnng25160D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6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BnaC08g03460D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FUNCTIONS IN: sequence-specific DNA binding transcription factor activity</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BnaC03g70780D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auxin associated family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BnaC01g12960D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NITRATE TRANSPORTER 1.8 (</w:t>
            </w:r>
            <w:bookmarkStart w:id="10" w:name="OLE_LINK128"/>
            <w:r w:rsidRPr="001E7CF7">
              <w:rPr>
                <w:rFonts w:ascii="Times New Roman" w:eastAsia="宋体" w:hAnsi="Times New Roman" w:cs="Times New Roman"/>
                <w:kern w:val="0"/>
                <w:sz w:val="18"/>
                <w:szCs w:val="18"/>
              </w:rPr>
              <w:t>NRT1.8</w:t>
            </w:r>
            <w:bookmarkEnd w:id="10"/>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BnaA05g21120D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PIF1 helicase</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BnaC03g65070D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flower bud</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BnaA09g27840D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flower bud</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BnaC09g52660D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flower bud</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BnaC03g25740D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flower bud</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BnaA09g11170D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flower bud</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pentatricopeptide (PPR) repeat-containing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BnaC04g28000D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flower bud</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BnaCnng72230D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flower bud</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BnaC04g46510D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stem apex</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Prefoldin chaperone subunit family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BnaC02g22110D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stem apex</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16"/>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BnaC02g22120D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stem apex</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hypermethylation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down</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bookmarkStart w:id="11" w:name="OLE_LINK84"/>
            <w:bookmarkStart w:id="12" w:name="OLE_LINK85"/>
            <w:bookmarkStart w:id="13" w:name="OLE_LINK129"/>
            <w:r w:rsidRPr="001E7CF7">
              <w:rPr>
                <w:rFonts w:ascii="Times New Roman" w:eastAsia="宋体" w:hAnsi="Times New Roman" w:cs="Times New Roman"/>
                <w:kern w:val="0"/>
                <w:sz w:val="18"/>
                <w:szCs w:val="18"/>
              </w:rPr>
              <w:t>Spc97</w:t>
            </w:r>
            <w:bookmarkEnd w:id="11"/>
            <w:bookmarkEnd w:id="12"/>
            <w:r w:rsidRPr="001E7CF7">
              <w:rPr>
                <w:rFonts w:ascii="Times New Roman" w:eastAsia="宋体" w:hAnsi="Times New Roman" w:cs="Times New Roman"/>
                <w:kern w:val="0"/>
                <w:sz w:val="18"/>
                <w:szCs w:val="18"/>
              </w:rPr>
              <w:t xml:space="preserve"> / </w:t>
            </w:r>
            <w:bookmarkStart w:id="14" w:name="OLE_LINK130"/>
            <w:bookmarkStart w:id="15" w:name="OLE_LINK131"/>
            <w:r w:rsidRPr="001E7CF7">
              <w:rPr>
                <w:rFonts w:ascii="Times New Roman" w:eastAsia="宋体" w:hAnsi="Times New Roman" w:cs="Times New Roman"/>
                <w:kern w:val="0"/>
                <w:sz w:val="18"/>
                <w:szCs w:val="18"/>
              </w:rPr>
              <w:t>Spc98</w:t>
            </w:r>
            <w:bookmarkEnd w:id="14"/>
            <w:bookmarkEnd w:id="15"/>
            <w:r w:rsidRPr="001E7CF7">
              <w:rPr>
                <w:rFonts w:ascii="Times New Roman" w:eastAsia="宋体" w:hAnsi="Times New Roman" w:cs="Times New Roman"/>
                <w:kern w:val="0"/>
                <w:sz w:val="18"/>
                <w:szCs w:val="18"/>
              </w:rPr>
              <w:t xml:space="preserve"> family of spindle pole body (SBP) component</w:t>
            </w:r>
            <w:bookmarkEnd w:id="13"/>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BnaC03g53050D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ubiquitin-conjugating enzyme 32 (</w:t>
            </w:r>
            <w:bookmarkStart w:id="16" w:name="OLE_LINK70"/>
            <w:bookmarkStart w:id="17" w:name="OLE_LINK71"/>
            <w:r w:rsidRPr="001E7CF7">
              <w:rPr>
                <w:rFonts w:ascii="Times New Roman" w:eastAsia="宋体" w:hAnsi="Times New Roman" w:cs="Times New Roman"/>
                <w:kern w:val="0"/>
                <w:sz w:val="18"/>
                <w:szCs w:val="18"/>
              </w:rPr>
              <w:t>UBC32</w:t>
            </w:r>
            <w:bookmarkEnd w:id="16"/>
            <w:bookmarkEnd w:id="17"/>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BnaC04g48480D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alpha/beta-Hydrolases superfamily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lastRenderedPageBreak/>
              <w:t>BnaUnng05080D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BnaC03g69480D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BnaA04g14930D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S-locus lectin protein kinase family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BnaA05g26660D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cystatin B (</w:t>
            </w:r>
            <w:bookmarkStart w:id="18" w:name="OLE_LINK75"/>
            <w:bookmarkStart w:id="19" w:name="OLE_LINK76"/>
            <w:bookmarkStart w:id="20" w:name="OLE_LINK122"/>
            <w:r w:rsidRPr="001E7CF7">
              <w:rPr>
                <w:rFonts w:ascii="Times New Roman" w:eastAsia="宋体" w:hAnsi="Times New Roman" w:cs="Times New Roman"/>
                <w:kern w:val="0"/>
                <w:sz w:val="18"/>
                <w:szCs w:val="18"/>
              </w:rPr>
              <w:t>CYSB</w:t>
            </w:r>
            <w:bookmarkEnd w:id="18"/>
            <w:bookmarkEnd w:id="19"/>
            <w:bookmarkEnd w:id="20"/>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BnaA06g09210D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IQ-domain 28 (</w:t>
            </w:r>
            <w:bookmarkStart w:id="21" w:name="OLE_LINK78"/>
            <w:bookmarkStart w:id="22" w:name="OLE_LINK79"/>
            <w:r w:rsidRPr="001E7CF7">
              <w:rPr>
                <w:rFonts w:ascii="Times New Roman" w:eastAsia="宋体" w:hAnsi="Times New Roman" w:cs="Times New Roman"/>
                <w:kern w:val="0"/>
                <w:sz w:val="18"/>
                <w:szCs w:val="18"/>
              </w:rPr>
              <w:t>IQD28</w:t>
            </w:r>
            <w:bookmarkEnd w:id="21"/>
            <w:bookmarkEnd w:id="22"/>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BnaC09g37800D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Galactose oxidase/kelch repeat superfamily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BnaA10g07880D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bookmarkStart w:id="23" w:name="OLE_LINK83"/>
            <w:r w:rsidRPr="001E7CF7">
              <w:rPr>
                <w:rFonts w:ascii="Times New Roman" w:eastAsia="宋体" w:hAnsi="Times New Roman" w:cs="Times New Roman"/>
                <w:kern w:val="0"/>
                <w:sz w:val="18"/>
                <w:szCs w:val="18"/>
              </w:rPr>
              <w:t xml:space="preserve">T-complex protein 1 alpha subunit </w:t>
            </w:r>
            <w:bookmarkEnd w:id="23"/>
            <w:r w:rsidRPr="001E7CF7">
              <w:rPr>
                <w:rFonts w:ascii="Times New Roman" w:eastAsia="宋体" w:hAnsi="Times New Roman" w:cs="Times New Roman"/>
                <w:kern w:val="0"/>
                <w:sz w:val="18"/>
                <w:szCs w:val="18"/>
              </w:rPr>
              <w:t>(</w:t>
            </w:r>
            <w:bookmarkStart w:id="24" w:name="OLE_LINK80"/>
            <w:bookmarkStart w:id="25" w:name="OLE_LINK81"/>
            <w:r w:rsidRPr="001E7CF7">
              <w:rPr>
                <w:rFonts w:ascii="Times New Roman" w:eastAsia="宋体" w:hAnsi="Times New Roman" w:cs="Times New Roman"/>
                <w:kern w:val="0"/>
                <w:sz w:val="18"/>
                <w:szCs w:val="18"/>
              </w:rPr>
              <w:t>TCP-1</w:t>
            </w:r>
            <w:bookmarkEnd w:id="24"/>
            <w:bookmarkEnd w:id="25"/>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BnaAnng28000D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Nucleic acid-binding, OB-fold-like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BnaC07g41590D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novel interactor of JAZ (NINJA)</w:t>
            </w:r>
          </w:p>
        </w:tc>
      </w:tr>
      <w:tr w:rsidR="00505681" w:rsidRPr="001E7CF7" w:rsidTr="00E57A4E">
        <w:trPr>
          <w:trHeight w:val="231"/>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BnaC07g18250D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Ca(2)-dependent phospholipid-binding protein (Copine) family</w:t>
            </w:r>
          </w:p>
        </w:tc>
      </w:tr>
      <w:tr w:rsidR="00505681" w:rsidRPr="001E7CF7" w:rsidTr="00E57A4E">
        <w:trPr>
          <w:trHeight w:val="131"/>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BnaCnng56050D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bookmarkStart w:id="26" w:name="OLE_LINK102"/>
            <w:bookmarkStart w:id="27" w:name="OLE_LINK103"/>
            <w:r w:rsidRPr="001E7CF7">
              <w:rPr>
                <w:rFonts w:ascii="Times New Roman" w:eastAsia="宋体" w:hAnsi="Times New Roman" w:cs="Times New Roman"/>
                <w:kern w:val="0"/>
                <w:sz w:val="18"/>
                <w:szCs w:val="18"/>
              </w:rPr>
              <w:t>Pyridoxal phosphate (PLP)-dependent transferases superfamily protein</w:t>
            </w:r>
            <w:bookmarkEnd w:id="26"/>
            <w:bookmarkEnd w:id="27"/>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BnaC03g09180D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BnaUnng03990D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BnaA06g22170D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BnaC03g09160D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common</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BnaC09g30490D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flower bud</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TBP-associated factor 15B (</w:t>
            </w:r>
            <w:bookmarkStart w:id="28" w:name="OLE_LINK82"/>
            <w:bookmarkStart w:id="29" w:name="OLE_LINK139"/>
            <w:r w:rsidRPr="001E7CF7">
              <w:rPr>
                <w:rFonts w:ascii="Times New Roman" w:eastAsia="宋体" w:hAnsi="Times New Roman" w:cs="Times New Roman"/>
                <w:kern w:val="0"/>
                <w:sz w:val="18"/>
                <w:szCs w:val="18"/>
              </w:rPr>
              <w:t>TAF15b</w:t>
            </w:r>
            <w:bookmarkEnd w:id="28"/>
            <w:bookmarkEnd w:id="29"/>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BnaC05g38320D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flower bud</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BnaC08g48020D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stem apex</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unknown protein</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BnaC09g25570D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stem apex</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BnaC06g02510D</w:t>
            </w:r>
          </w:p>
        </w:tc>
        <w:tc>
          <w:tcPr>
            <w:tcW w:w="503"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stem apex</w:t>
            </w:r>
          </w:p>
        </w:tc>
        <w:tc>
          <w:tcPr>
            <w:tcW w:w="995"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nil"/>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r w:rsidR="00505681" w:rsidRPr="001E7CF7" w:rsidTr="00E57A4E">
        <w:trPr>
          <w:trHeight w:val="300"/>
        </w:trPr>
        <w:tc>
          <w:tcPr>
            <w:tcW w:w="872" w:type="pct"/>
            <w:tcBorders>
              <w:top w:val="nil"/>
              <w:left w:val="nil"/>
              <w:bottom w:val="single" w:sz="4" w:space="0" w:color="auto"/>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BnaCnng57630D</w:t>
            </w:r>
          </w:p>
        </w:tc>
        <w:tc>
          <w:tcPr>
            <w:tcW w:w="503" w:type="pct"/>
            <w:tcBorders>
              <w:top w:val="nil"/>
              <w:left w:val="nil"/>
              <w:bottom w:val="single" w:sz="4" w:space="0" w:color="auto"/>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stem apex</w:t>
            </w:r>
          </w:p>
        </w:tc>
        <w:tc>
          <w:tcPr>
            <w:tcW w:w="995" w:type="pct"/>
            <w:tcBorders>
              <w:top w:val="nil"/>
              <w:left w:val="nil"/>
              <w:bottom w:val="single" w:sz="4" w:space="0" w:color="auto"/>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hypomethlation</w:t>
            </w:r>
          </w:p>
        </w:tc>
        <w:tc>
          <w:tcPr>
            <w:tcW w:w="854" w:type="pct"/>
            <w:tcBorders>
              <w:top w:val="nil"/>
              <w:left w:val="nil"/>
              <w:bottom w:val="single" w:sz="4" w:space="0" w:color="auto"/>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up</w:t>
            </w:r>
          </w:p>
        </w:tc>
        <w:tc>
          <w:tcPr>
            <w:tcW w:w="1776" w:type="pct"/>
            <w:tcBorders>
              <w:top w:val="nil"/>
              <w:left w:val="nil"/>
              <w:bottom w:val="single" w:sz="4" w:space="0" w:color="auto"/>
              <w:right w:val="nil"/>
            </w:tcBorders>
            <w:shd w:val="clear" w:color="auto" w:fill="auto"/>
            <w:vAlign w:val="center"/>
            <w:hideMark/>
          </w:tcPr>
          <w:p w:rsidR="00505681" w:rsidRPr="001E7CF7" w:rsidRDefault="00505681" w:rsidP="00E57A4E">
            <w:pPr>
              <w:widowControl/>
              <w:spacing w:line="300" w:lineRule="exact"/>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w:t>
            </w:r>
          </w:p>
        </w:tc>
      </w:tr>
    </w:tbl>
    <w:tbl>
      <w:tblPr>
        <w:tblW w:w="11164" w:type="dxa"/>
        <w:tblInd w:w="-1652" w:type="dxa"/>
        <w:tblLook w:val="04A0" w:firstRow="1" w:lastRow="0" w:firstColumn="1" w:lastColumn="0" w:noHBand="0" w:noVBand="1"/>
      </w:tblPr>
      <w:tblGrid>
        <w:gridCol w:w="1506"/>
        <w:gridCol w:w="1049"/>
        <w:gridCol w:w="1049"/>
        <w:gridCol w:w="668"/>
        <w:gridCol w:w="838"/>
        <w:gridCol w:w="1682"/>
        <w:gridCol w:w="1049"/>
        <w:gridCol w:w="1823"/>
        <w:gridCol w:w="1500"/>
      </w:tblGrid>
      <w:tr w:rsidR="00505681" w:rsidRPr="001E7CF7" w:rsidTr="00505681">
        <w:trPr>
          <w:trHeight w:val="480"/>
        </w:trPr>
        <w:tc>
          <w:tcPr>
            <w:tcW w:w="11164" w:type="dxa"/>
            <w:gridSpan w:val="9"/>
            <w:tcBorders>
              <w:top w:val="nil"/>
              <w:left w:val="nil"/>
              <w:bottom w:val="single" w:sz="4" w:space="0" w:color="auto"/>
              <w:right w:val="nil"/>
            </w:tcBorders>
            <w:shd w:val="clear" w:color="000000" w:fill="FFFFFF"/>
            <w:noWrap/>
            <w:vAlign w:val="bottom"/>
            <w:hideMark/>
          </w:tcPr>
          <w:p w:rsidR="00E57A4E" w:rsidRDefault="00505681" w:rsidP="00E57A4E">
            <w:pPr>
              <w:widowControl/>
              <w:jc w:val="left"/>
              <w:rPr>
                <w:rFonts w:ascii="Times New Roman" w:eastAsia="黑体" w:hAnsi="Times New Roman" w:cs="Times New Roman"/>
                <w:color w:val="000000"/>
                <w:kern w:val="0"/>
                <w:szCs w:val="21"/>
              </w:rPr>
            </w:pPr>
            <w:r w:rsidRPr="001E7CF7">
              <w:rPr>
                <w:rFonts w:ascii="Times New Roman" w:eastAsia="黑体" w:hAnsi="Times New Roman" w:cs="Times New Roman"/>
                <w:color w:val="000000"/>
                <w:kern w:val="0"/>
                <w:szCs w:val="21"/>
              </w:rPr>
              <w:t xml:space="preserve"> </w:t>
            </w:r>
          </w:p>
          <w:p w:rsidR="00E57A4E" w:rsidRDefault="00E57A4E" w:rsidP="00E57A4E">
            <w:pPr>
              <w:widowControl/>
              <w:jc w:val="left"/>
              <w:rPr>
                <w:rFonts w:ascii="Times New Roman" w:eastAsia="黑体" w:hAnsi="Times New Roman" w:cs="Times New Roman"/>
                <w:color w:val="000000"/>
                <w:kern w:val="0"/>
                <w:szCs w:val="21"/>
              </w:rPr>
            </w:pPr>
          </w:p>
          <w:p w:rsidR="00E57A4E" w:rsidRDefault="00E57A4E" w:rsidP="00E57A4E">
            <w:pPr>
              <w:widowControl/>
              <w:jc w:val="left"/>
              <w:rPr>
                <w:rFonts w:ascii="Times New Roman" w:eastAsia="黑体" w:hAnsi="Times New Roman" w:cs="Times New Roman"/>
                <w:color w:val="000000"/>
                <w:kern w:val="0"/>
                <w:szCs w:val="21"/>
              </w:rPr>
            </w:pPr>
          </w:p>
          <w:p w:rsidR="00505681" w:rsidRPr="001E7CF7" w:rsidRDefault="00505681" w:rsidP="00E57A4E">
            <w:pPr>
              <w:widowControl/>
              <w:jc w:val="left"/>
              <w:rPr>
                <w:rFonts w:ascii="Times New Roman" w:eastAsia="黑体" w:hAnsi="Times New Roman" w:cs="Times New Roman"/>
                <w:color w:val="000000"/>
                <w:kern w:val="0"/>
                <w:szCs w:val="21"/>
              </w:rPr>
            </w:pPr>
            <w:r w:rsidRPr="001E7CF7">
              <w:rPr>
                <w:rFonts w:ascii="Times New Roman" w:eastAsia="黑体" w:hAnsi="Times New Roman" w:cs="Times New Roman"/>
                <w:color w:val="000000"/>
                <w:kern w:val="0"/>
                <w:szCs w:val="21"/>
              </w:rPr>
              <w:t xml:space="preserve">                                                                                                         </w:t>
            </w:r>
            <w:r>
              <w:rPr>
                <w:rFonts w:ascii="Times New Roman" w:eastAsia="黑体" w:hAnsi="Times New Roman" w:cs="Times New Roman"/>
                <w:color w:val="000000"/>
                <w:kern w:val="0"/>
                <w:szCs w:val="21"/>
              </w:rPr>
              <w:t xml:space="preserve">                          </w:t>
            </w:r>
            <w:r w:rsidRPr="0056252E">
              <w:rPr>
                <w:rFonts w:ascii="Times New Roman" w:eastAsia="黑体" w:hAnsi="Times New Roman" w:cs="Times New Roman"/>
                <w:b/>
                <w:color w:val="000000"/>
                <w:kern w:val="0"/>
                <w:szCs w:val="21"/>
              </w:rPr>
              <w:t xml:space="preserve">Supplementary Table 2. </w:t>
            </w:r>
            <w:r w:rsidRPr="001E7CF7">
              <w:rPr>
                <w:rFonts w:ascii="Times New Roman" w:eastAsia="黑体" w:hAnsi="Times New Roman" w:cs="Times New Roman"/>
                <w:color w:val="000000"/>
                <w:kern w:val="0"/>
                <w:szCs w:val="21"/>
              </w:rPr>
              <w:t xml:space="preserve"> Gene</w:t>
            </w:r>
            <w:r>
              <w:rPr>
                <w:rFonts w:ascii="Times New Roman" w:eastAsia="黑体" w:hAnsi="Times New Roman" w:cs="Times New Roman"/>
                <w:color w:val="000000"/>
                <w:kern w:val="0"/>
                <w:szCs w:val="21"/>
              </w:rPr>
              <w:t>s</w:t>
            </w:r>
            <w:r w:rsidRPr="001E7CF7">
              <w:rPr>
                <w:rFonts w:ascii="Times New Roman" w:eastAsia="黑体" w:hAnsi="Times New Roman" w:cs="Times New Roman"/>
                <w:color w:val="000000"/>
                <w:kern w:val="0"/>
                <w:szCs w:val="21"/>
              </w:rPr>
              <w:t xml:space="preserve"> used for methylation validation</w:t>
            </w:r>
          </w:p>
        </w:tc>
      </w:tr>
      <w:tr w:rsidR="00505681" w:rsidRPr="001E7CF7" w:rsidTr="00505681">
        <w:trPr>
          <w:trHeight w:val="450"/>
        </w:trPr>
        <w:tc>
          <w:tcPr>
            <w:tcW w:w="1506" w:type="dxa"/>
            <w:tcBorders>
              <w:top w:val="nil"/>
              <w:left w:val="nil"/>
              <w:bottom w:val="single" w:sz="4" w:space="0" w:color="auto"/>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Chromosome</w:t>
            </w:r>
          </w:p>
        </w:tc>
        <w:tc>
          <w:tcPr>
            <w:tcW w:w="1049"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start</w:t>
            </w:r>
          </w:p>
        </w:tc>
        <w:tc>
          <w:tcPr>
            <w:tcW w:w="1049"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end</w:t>
            </w:r>
          </w:p>
        </w:tc>
        <w:tc>
          <w:tcPr>
            <w:tcW w:w="668"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length</w:t>
            </w:r>
          </w:p>
        </w:tc>
        <w:tc>
          <w:tcPr>
            <w:tcW w:w="838"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Context</w:t>
            </w:r>
          </w:p>
        </w:tc>
        <w:tc>
          <w:tcPr>
            <w:tcW w:w="1682"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Gene_id</w:t>
            </w:r>
          </w:p>
        </w:tc>
        <w:tc>
          <w:tcPr>
            <w:tcW w:w="1049"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region</w:t>
            </w:r>
          </w:p>
        </w:tc>
        <w:tc>
          <w:tcPr>
            <w:tcW w:w="1823" w:type="dxa"/>
            <w:tcBorders>
              <w:top w:val="nil"/>
              <w:left w:val="nil"/>
              <w:bottom w:val="single" w:sz="4" w:space="0" w:color="auto"/>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Methylation</w:t>
            </w:r>
          </w:p>
        </w:tc>
        <w:tc>
          <w:tcPr>
            <w:tcW w:w="1500" w:type="dxa"/>
            <w:tcBorders>
              <w:top w:val="nil"/>
              <w:left w:val="nil"/>
              <w:bottom w:val="single" w:sz="4" w:space="0" w:color="auto"/>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kern w:val="0"/>
                <w:sz w:val="18"/>
                <w:szCs w:val="18"/>
              </w:rPr>
            </w:pPr>
            <w:r w:rsidRPr="001E7CF7">
              <w:rPr>
                <w:rFonts w:ascii="Times New Roman" w:eastAsia="宋体" w:hAnsi="Times New Roman" w:cs="Times New Roman"/>
                <w:kern w:val="0"/>
                <w:sz w:val="18"/>
                <w:szCs w:val="18"/>
              </w:rPr>
              <w:t>Materials</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chrC04</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28932484</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28933278</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795</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BnaC04g27680D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chrC05</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35959735</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35961483</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1749</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BnaC05g36710D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chrC06</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3994751</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3995435</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685</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BnaC06g03310D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chrA07</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8074819</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8075354</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536</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BnaA07g07800D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chrC08</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3215209</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3217065</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1857</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BnaC08g03460D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lastRenderedPageBreak/>
              <w:t>chrCnn_random</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63802915</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63803399</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485</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BnaCnng64040D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w:t>
            </w:r>
            <w:r>
              <w:rPr>
                <w:rFonts w:ascii="Times New Roman" w:eastAsia="宋体" w:hAnsi="Times New Roman" w:cs="Times New Roman" w:hint="eastAsia"/>
                <w:color w:val="000000"/>
                <w:kern w:val="0"/>
                <w:sz w:val="18"/>
                <w:szCs w:val="18"/>
              </w:rPr>
              <w:t>FF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chrC03</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60388542</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60389391</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850</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BnaC03g70780D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chrA05</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16370918</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16372104</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1187</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BnaA05g21120D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chrC03</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54554408</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54555203</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796</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BnaC03g65070D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chrA09</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20870973</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20871783</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811</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BnaA09g27840D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chrC03</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14444574</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14445925</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1352</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BnaC03g25740D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chrA09</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5783775</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5784177</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403</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BnaA09g11170D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chrC04</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29430769</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29431783</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1015</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BnaC04g28000D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hypermethylation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chrC04</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47080059</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47080491</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433</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BnaC04g48480D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hypomethylation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chrC03</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59224107</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59224481</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375</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BnaC03g69480D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hypomethylation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chrA04</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12508634</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12509001</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368</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BnaA04g14930D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hypomethylation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chrA05</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19453849</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19454171</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323</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BnaA05g26660D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hypomethylation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chrA10</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6400443</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6401340</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898</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BnaA10g07880D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hypomethylation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/YC11</w:t>
            </w:r>
            <w:r>
              <w:rPr>
                <w:rFonts w:ascii="Times New Roman" w:eastAsia="宋体" w:hAnsi="Times New Roman" w:cs="Times New Roman" w:hint="eastAsia"/>
                <w:color w:val="000000"/>
                <w:kern w:val="0"/>
                <w:sz w:val="18"/>
                <w:szCs w:val="18"/>
              </w:rPr>
              <w:t>F</w:t>
            </w:r>
          </w:p>
        </w:tc>
      </w:tr>
      <w:tr w:rsidR="00505681" w:rsidRPr="001E7CF7" w:rsidTr="00505681">
        <w:trPr>
          <w:trHeight w:val="300"/>
        </w:trPr>
        <w:tc>
          <w:tcPr>
            <w:tcW w:w="1506"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chrC09</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33390641</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33391416</w:t>
            </w:r>
          </w:p>
        </w:tc>
        <w:tc>
          <w:tcPr>
            <w:tcW w:w="66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776</w:t>
            </w:r>
          </w:p>
        </w:tc>
        <w:tc>
          <w:tcPr>
            <w:tcW w:w="838"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BnaC09g30490D</w:t>
            </w:r>
          </w:p>
        </w:tc>
        <w:tc>
          <w:tcPr>
            <w:tcW w:w="1049" w:type="dxa"/>
            <w:tcBorders>
              <w:top w:val="nil"/>
              <w:left w:val="nil"/>
              <w:bottom w:val="nil"/>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hypomethylation</w:t>
            </w:r>
          </w:p>
        </w:tc>
        <w:tc>
          <w:tcPr>
            <w:tcW w:w="1500" w:type="dxa"/>
            <w:tcBorders>
              <w:top w:val="nil"/>
              <w:left w:val="nil"/>
              <w:bottom w:val="nil"/>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w:t>
            </w:r>
            <w:r>
              <w:rPr>
                <w:rFonts w:ascii="Times New Roman" w:eastAsia="宋体" w:hAnsi="Times New Roman" w:cs="Times New Roman" w:hint="eastAsia"/>
                <w:color w:val="000000"/>
                <w:kern w:val="0"/>
                <w:sz w:val="18"/>
                <w:szCs w:val="18"/>
              </w:rPr>
              <w:t>1F</w:t>
            </w:r>
          </w:p>
        </w:tc>
      </w:tr>
      <w:tr w:rsidR="00505681" w:rsidRPr="001E7CF7" w:rsidTr="00505681">
        <w:trPr>
          <w:trHeight w:val="300"/>
        </w:trPr>
        <w:tc>
          <w:tcPr>
            <w:tcW w:w="1506"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chrC03</w:t>
            </w:r>
          </w:p>
        </w:tc>
        <w:tc>
          <w:tcPr>
            <w:tcW w:w="1049"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4369774</w:t>
            </w:r>
          </w:p>
        </w:tc>
        <w:tc>
          <w:tcPr>
            <w:tcW w:w="1049"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4371039</w:t>
            </w:r>
          </w:p>
        </w:tc>
        <w:tc>
          <w:tcPr>
            <w:tcW w:w="668"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1266</w:t>
            </w:r>
          </w:p>
        </w:tc>
        <w:tc>
          <w:tcPr>
            <w:tcW w:w="838"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CG</w:t>
            </w:r>
          </w:p>
        </w:tc>
        <w:tc>
          <w:tcPr>
            <w:tcW w:w="1682"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BnaC03g09180D</w:t>
            </w:r>
          </w:p>
        </w:tc>
        <w:tc>
          <w:tcPr>
            <w:tcW w:w="1049" w:type="dxa"/>
            <w:tcBorders>
              <w:top w:val="nil"/>
              <w:left w:val="nil"/>
              <w:bottom w:val="single" w:sz="4" w:space="0" w:color="auto"/>
              <w:right w:val="nil"/>
            </w:tcBorders>
            <w:shd w:val="clear" w:color="000000" w:fill="FFFFFF"/>
            <w:noWrap/>
            <w:vAlign w:val="center"/>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promoter</w:t>
            </w:r>
          </w:p>
        </w:tc>
        <w:tc>
          <w:tcPr>
            <w:tcW w:w="1823" w:type="dxa"/>
            <w:tcBorders>
              <w:top w:val="nil"/>
              <w:left w:val="nil"/>
              <w:bottom w:val="single" w:sz="4" w:space="0" w:color="auto"/>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hypomethylation</w:t>
            </w:r>
          </w:p>
        </w:tc>
        <w:tc>
          <w:tcPr>
            <w:tcW w:w="1500" w:type="dxa"/>
            <w:tcBorders>
              <w:top w:val="nil"/>
              <w:left w:val="nil"/>
              <w:bottom w:val="single" w:sz="4" w:space="0" w:color="auto"/>
              <w:right w:val="nil"/>
            </w:tcBorders>
            <w:shd w:val="clear" w:color="000000" w:fill="FFFFFF"/>
            <w:noWrap/>
            <w:vAlign w:val="bottom"/>
            <w:hideMark/>
          </w:tcPr>
          <w:p w:rsidR="00505681" w:rsidRPr="001E7CF7" w:rsidRDefault="00505681" w:rsidP="00E57A4E">
            <w:pPr>
              <w:widowControl/>
              <w:jc w:val="center"/>
              <w:rPr>
                <w:rFonts w:ascii="Times New Roman" w:eastAsia="宋体" w:hAnsi="Times New Roman" w:cs="Times New Roman"/>
                <w:color w:val="000000"/>
                <w:kern w:val="0"/>
                <w:sz w:val="18"/>
                <w:szCs w:val="18"/>
              </w:rPr>
            </w:pPr>
            <w:r w:rsidRPr="001E7CF7">
              <w:rPr>
                <w:rFonts w:ascii="Times New Roman" w:eastAsia="宋体" w:hAnsi="Times New Roman" w:cs="Times New Roman"/>
                <w:color w:val="000000"/>
                <w:kern w:val="0"/>
                <w:sz w:val="18"/>
                <w:szCs w:val="18"/>
              </w:rPr>
              <w:t>YC4</w:t>
            </w:r>
            <w:r>
              <w:rPr>
                <w:rFonts w:ascii="Times New Roman" w:eastAsia="宋体" w:hAnsi="Times New Roman" w:cs="Times New Roman" w:hint="eastAsia"/>
                <w:color w:val="000000"/>
                <w:kern w:val="0"/>
                <w:sz w:val="18"/>
                <w:szCs w:val="18"/>
              </w:rPr>
              <w:t>F</w:t>
            </w:r>
            <w:r w:rsidRPr="001E7CF7">
              <w:rPr>
                <w:rFonts w:ascii="Times New Roman" w:eastAsia="宋体" w:hAnsi="Times New Roman" w:cs="Times New Roman"/>
                <w:color w:val="000000"/>
                <w:kern w:val="0"/>
                <w:sz w:val="18"/>
                <w:szCs w:val="18"/>
              </w:rPr>
              <w:t>/YC1</w:t>
            </w:r>
            <w:r>
              <w:rPr>
                <w:rFonts w:ascii="Times New Roman" w:eastAsia="宋体" w:hAnsi="Times New Roman" w:cs="Times New Roman" w:hint="eastAsia"/>
                <w:color w:val="000000"/>
                <w:kern w:val="0"/>
                <w:sz w:val="18"/>
                <w:szCs w:val="18"/>
              </w:rPr>
              <w:t>1F</w:t>
            </w:r>
          </w:p>
        </w:tc>
      </w:tr>
    </w:tbl>
    <w:p w:rsidR="003D5793" w:rsidRPr="00505681" w:rsidRDefault="003D5793"/>
    <w:sectPr w:rsidR="003D5793" w:rsidRPr="005056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2BF" w:rsidRDefault="00A902BF" w:rsidP="00D958DD">
      <w:r>
        <w:separator/>
      </w:r>
    </w:p>
  </w:endnote>
  <w:endnote w:type="continuationSeparator" w:id="0">
    <w:p w:rsidR="00A902BF" w:rsidRDefault="00A902BF" w:rsidP="00D9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ヒラギノ角ゴ Pro W3">
    <w:altName w:val="Microsoft JhengHei Light"/>
    <w:charset w:val="00"/>
    <w:family w:val="roman"/>
    <w:pitch w:val="default"/>
  </w:font>
  <w:font w:name="Times New Roman Bold Italic">
    <w:altName w:val="Times New Roman"/>
    <w:panose1 w:val="02020703060505090304"/>
    <w:charset w:val="00"/>
    <w:family w:val="auto"/>
    <w:pitch w:val="variable"/>
    <w:sig w:usb0="E0000AFF" w:usb1="00007843" w:usb2="00000001" w:usb3="00000000" w:csb0="000001BF" w:csb1="00000000"/>
  </w:font>
  <w:font w:name="Times New Roman Bold">
    <w:altName w:val="Times New Roman"/>
    <w:panose1 w:val="020208030705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2BF" w:rsidRDefault="00A902BF" w:rsidP="00D958DD">
      <w:r>
        <w:separator/>
      </w:r>
    </w:p>
  </w:footnote>
  <w:footnote w:type="continuationSeparator" w:id="0">
    <w:p w:rsidR="00A902BF" w:rsidRDefault="00A902BF" w:rsidP="00D95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894EE874"/>
    <w:lvl w:ilvl="0">
      <w:start w:val="1"/>
      <w:numFmt w:val="decimal"/>
      <w:isLgl/>
      <w:lvlText w:val="%1."/>
      <w:lvlJc w:val="left"/>
      <w:pPr>
        <w:tabs>
          <w:tab w:val="num" w:pos="420"/>
        </w:tabs>
        <w:ind w:left="420" w:firstLine="0"/>
      </w:pPr>
      <w:rPr>
        <w:rFonts w:hint="default"/>
        <w:color w:val="000000"/>
        <w:position w:val="0"/>
        <w:sz w:val="21"/>
      </w:rPr>
    </w:lvl>
    <w:lvl w:ilvl="1">
      <w:start w:val="1"/>
      <w:numFmt w:val="lowerLetter"/>
      <w:lvlText w:val="%2)"/>
      <w:lvlJc w:val="left"/>
      <w:pPr>
        <w:tabs>
          <w:tab w:val="num" w:pos="420"/>
        </w:tabs>
        <w:ind w:left="420" w:firstLine="420"/>
      </w:pPr>
      <w:rPr>
        <w:rFonts w:hint="default"/>
        <w:color w:val="000000"/>
        <w:position w:val="0"/>
        <w:sz w:val="21"/>
      </w:rPr>
    </w:lvl>
    <w:lvl w:ilvl="2">
      <w:start w:val="1"/>
      <w:numFmt w:val="lowerRoman"/>
      <w:lvlText w:val="%3."/>
      <w:lvlJc w:val="left"/>
      <w:pPr>
        <w:tabs>
          <w:tab w:val="num" w:pos="580"/>
        </w:tabs>
        <w:ind w:left="580" w:firstLine="680"/>
      </w:pPr>
      <w:rPr>
        <w:rFonts w:hint="default"/>
        <w:color w:val="000000"/>
        <w:position w:val="0"/>
        <w:sz w:val="21"/>
      </w:rPr>
    </w:lvl>
    <w:lvl w:ilvl="3">
      <w:start w:val="1"/>
      <w:numFmt w:val="decimal"/>
      <w:isLgl/>
      <w:lvlText w:val="%4."/>
      <w:lvlJc w:val="left"/>
      <w:pPr>
        <w:tabs>
          <w:tab w:val="num" w:pos="420"/>
        </w:tabs>
        <w:ind w:left="420" w:firstLine="1260"/>
      </w:pPr>
      <w:rPr>
        <w:rFonts w:hint="default"/>
        <w:color w:val="000000"/>
        <w:position w:val="0"/>
        <w:sz w:val="21"/>
      </w:rPr>
    </w:lvl>
    <w:lvl w:ilvl="4">
      <w:start w:val="1"/>
      <w:numFmt w:val="lowerLetter"/>
      <w:lvlText w:val="%5)"/>
      <w:lvlJc w:val="left"/>
      <w:pPr>
        <w:tabs>
          <w:tab w:val="num" w:pos="420"/>
        </w:tabs>
        <w:ind w:left="420" w:firstLine="1680"/>
      </w:pPr>
      <w:rPr>
        <w:rFonts w:hint="default"/>
        <w:color w:val="000000"/>
        <w:position w:val="0"/>
        <w:sz w:val="21"/>
      </w:rPr>
    </w:lvl>
    <w:lvl w:ilvl="5">
      <w:start w:val="1"/>
      <w:numFmt w:val="lowerRoman"/>
      <w:lvlText w:val="%6."/>
      <w:lvlJc w:val="left"/>
      <w:pPr>
        <w:tabs>
          <w:tab w:val="num" w:pos="580"/>
        </w:tabs>
        <w:ind w:left="580" w:firstLine="1940"/>
      </w:pPr>
      <w:rPr>
        <w:rFonts w:hint="default"/>
        <w:color w:val="000000"/>
        <w:position w:val="0"/>
        <w:sz w:val="21"/>
      </w:rPr>
    </w:lvl>
    <w:lvl w:ilvl="6">
      <w:start w:val="1"/>
      <w:numFmt w:val="decimal"/>
      <w:isLgl/>
      <w:lvlText w:val="%7."/>
      <w:lvlJc w:val="left"/>
      <w:pPr>
        <w:tabs>
          <w:tab w:val="num" w:pos="420"/>
        </w:tabs>
        <w:ind w:left="420" w:firstLine="2520"/>
      </w:pPr>
      <w:rPr>
        <w:rFonts w:hint="default"/>
        <w:color w:val="000000"/>
        <w:position w:val="0"/>
        <w:sz w:val="21"/>
      </w:rPr>
    </w:lvl>
    <w:lvl w:ilvl="7">
      <w:start w:val="1"/>
      <w:numFmt w:val="lowerLetter"/>
      <w:lvlText w:val="%8)"/>
      <w:lvlJc w:val="left"/>
      <w:pPr>
        <w:tabs>
          <w:tab w:val="num" w:pos="420"/>
        </w:tabs>
        <w:ind w:left="420" w:firstLine="2940"/>
      </w:pPr>
      <w:rPr>
        <w:rFonts w:hint="default"/>
        <w:color w:val="000000"/>
        <w:position w:val="0"/>
        <w:sz w:val="21"/>
      </w:rPr>
    </w:lvl>
    <w:lvl w:ilvl="8">
      <w:start w:val="1"/>
      <w:numFmt w:val="lowerRoman"/>
      <w:lvlText w:val="%9."/>
      <w:lvlJc w:val="left"/>
      <w:pPr>
        <w:tabs>
          <w:tab w:val="num" w:pos="580"/>
        </w:tabs>
        <w:ind w:left="580" w:firstLine="3200"/>
      </w:pPr>
      <w:rPr>
        <w:rFonts w:hint="default"/>
        <w:color w:val="000000"/>
        <w:position w:val="0"/>
        <w:sz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35A"/>
    <w:rsid w:val="001D0F42"/>
    <w:rsid w:val="0031035A"/>
    <w:rsid w:val="003D5793"/>
    <w:rsid w:val="00505681"/>
    <w:rsid w:val="006D07FE"/>
    <w:rsid w:val="00A902BF"/>
    <w:rsid w:val="00B052E8"/>
    <w:rsid w:val="00D958DD"/>
    <w:rsid w:val="00DA4C7A"/>
    <w:rsid w:val="00E57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3F7D9"/>
  <w15:chartTrackingRefBased/>
  <w15:docId w15:val="{E2A7EB41-5C39-43CA-B446-EBA180601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58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58D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958DD"/>
    <w:rPr>
      <w:sz w:val="18"/>
      <w:szCs w:val="18"/>
    </w:rPr>
  </w:style>
  <w:style w:type="paragraph" w:styleId="a5">
    <w:name w:val="footer"/>
    <w:basedOn w:val="a"/>
    <w:link w:val="a6"/>
    <w:uiPriority w:val="99"/>
    <w:unhideWhenUsed/>
    <w:rsid w:val="00D958DD"/>
    <w:pPr>
      <w:tabs>
        <w:tab w:val="center" w:pos="4153"/>
        <w:tab w:val="right" w:pos="8306"/>
      </w:tabs>
      <w:snapToGrid w:val="0"/>
      <w:jc w:val="left"/>
    </w:pPr>
    <w:rPr>
      <w:sz w:val="18"/>
      <w:szCs w:val="18"/>
    </w:rPr>
  </w:style>
  <w:style w:type="character" w:customStyle="1" w:styleId="a6">
    <w:name w:val="页脚 字符"/>
    <w:basedOn w:val="a0"/>
    <w:link w:val="a5"/>
    <w:uiPriority w:val="99"/>
    <w:rsid w:val="00D958DD"/>
    <w:rPr>
      <w:sz w:val="18"/>
      <w:szCs w:val="18"/>
    </w:rPr>
  </w:style>
  <w:style w:type="paragraph" w:customStyle="1" w:styleId="-11">
    <w:name w:val="彩色列表 - 着色 11"/>
    <w:qFormat/>
    <w:rsid w:val="00B052E8"/>
    <w:pPr>
      <w:widowControl w:val="0"/>
      <w:ind w:firstLine="420"/>
      <w:jc w:val="both"/>
    </w:pPr>
    <w:rPr>
      <w:rFonts w:ascii="Calibri" w:eastAsia="ヒラギノ角ゴ Pro W3" w:hAnsi="Calibri" w:cs="Times New Roman"/>
      <w:color w:val="00000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1592</TotalTime>
  <Pages>10</Pages>
  <Words>1273</Words>
  <Characters>7259</Characters>
  <Application>Microsoft Office Word</Application>
  <DocSecurity>0</DocSecurity>
  <Lines>60</Lines>
  <Paragraphs>17</Paragraphs>
  <ScaleCrop>false</ScaleCrop>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apple</cp:lastModifiedBy>
  <cp:revision>6</cp:revision>
  <dcterms:created xsi:type="dcterms:W3CDTF">2020-08-31T00:55:00Z</dcterms:created>
  <dcterms:modified xsi:type="dcterms:W3CDTF">2021-02-02T13:29:00Z</dcterms:modified>
</cp:coreProperties>
</file>