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7D2" w:rsidRPr="003F059A" w:rsidRDefault="005E57D2" w:rsidP="005E57D2">
      <w:bookmarkStart w:id="0" w:name="_GoBack"/>
      <w:bookmarkEnd w:id="0"/>
      <w:r w:rsidRPr="00D926A0">
        <w:rPr>
          <w:rFonts w:ascii="Times New Roman" w:hAnsi="Times New Roman"/>
          <w:sz w:val="28"/>
          <w:szCs w:val="28"/>
        </w:rPr>
        <w:t xml:space="preserve">The logistic regression analysis results of NSCLC and RRM2, CEA, and NSE indicators </w:t>
      </w:r>
      <w:r>
        <w:rPr>
          <w:rFonts w:ascii="Times New Roman" w:hAnsi="Times New Roman" w:hint="eastAsia"/>
          <w:sz w:val="28"/>
          <w:szCs w:val="28"/>
        </w:rPr>
        <w:t>were shown in</w:t>
      </w:r>
      <w:r w:rsidRPr="00D926A0">
        <w:rPr>
          <w:rFonts w:ascii="Times New Roman" w:hAnsi="Times New Roman"/>
          <w:sz w:val="28"/>
          <w:szCs w:val="28"/>
        </w:rPr>
        <w:t xml:space="preserve"> </w:t>
      </w:r>
      <w:r w:rsidR="00C048D2" w:rsidRPr="00D217CC">
        <w:rPr>
          <w:rFonts w:ascii="Times New Roman" w:hAnsi="Times New Roman"/>
          <w:b/>
          <w:sz w:val="28"/>
          <w:szCs w:val="28"/>
        </w:rPr>
        <w:t>Supplemental</w:t>
      </w:r>
      <w:r w:rsidR="00C048D2" w:rsidRPr="00D926A0">
        <w:rPr>
          <w:rFonts w:ascii="Times New Roman" w:hAnsi="Times New Roman"/>
          <w:b/>
          <w:sz w:val="28"/>
          <w:szCs w:val="28"/>
        </w:rPr>
        <w:t xml:space="preserve"> </w:t>
      </w:r>
      <w:r w:rsidRPr="00D926A0">
        <w:rPr>
          <w:rFonts w:ascii="Times New Roman" w:hAnsi="Times New Roman"/>
          <w:b/>
          <w:sz w:val="28"/>
          <w:szCs w:val="28"/>
        </w:rPr>
        <w:t>Table 3</w:t>
      </w:r>
      <w:r w:rsidRPr="00D926A0">
        <w:rPr>
          <w:rFonts w:ascii="Times New Roman" w:hAnsi="Times New Roman"/>
          <w:sz w:val="28"/>
          <w:szCs w:val="28"/>
        </w:rPr>
        <w:t>.</w:t>
      </w:r>
    </w:p>
    <w:tbl>
      <w:tblPr>
        <w:tblW w:w="8554" w:type="dxa"/>
        <w:jc w:val="center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176"/>
        <w:gridCol w:w="1092"/>
        <w:gridCol w:w="756"/>
        <w:gridCol w:w="888"/>
        <w:gridCol w:w="620"/>
        <w:gridCol w:w="680"/>
        <w:gridCol w:w="1006"/>
        <w:gridCol w:w="1210"/>
        <w:gridCol w:w="1200"/>
      </w:tblGrid>
      <w:tr w:rsidR="005E57D2" w:rsidRPr="00000A63" w:rsidTr="0095629B">
        <w:trPr>
          <w:trHeight w:val="447"/>
          <w:jc w:val="center"/>
        </w:trPr>
        <w:tc>
          <w:tcPr>
            <w:tcW w:w="8554" w:type="dxa"/>
            <w:gridSpan w:val="9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E57D2" w:rsidRPr="00D926A0" w:rsidRDefault="005E57D2" w:rsidP="005E57D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26A0">
              <w:rPr>
                <w:rFonts w:ascii="Times New Roman" w:hAnsi="Times New Roman"/>
                <w:b/>
                <w:sz w:val="24"/>
                <w:szCs w:val="28"/>
              </w:rPr>
              <w:t>Table 3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5E57D2">
              <w:rPr>
                <w:rFonts w:ascii="Times New Roman" w:hAnsi="Times New Roman"/>
                <w:sz w:val="24"/>
                <w:szCs w:val="28"/>
              </w:rPr>
              <w:t>Logistic regression analysis between NSCLC and RRM2, CEA, NSE.</w:t>
            </w:r>
          </w:p>
        </w:tc>
      </w:tr>
      <w:tr w:rsidR="005E57D2" w:rsidRPr="00000A63" w:rsidTr="0058380D">
        <w:trPr>
          <w:trHeight w:val="354"/>
          <w:jc w:val="center"/>
        </w:trPr>
        <w:tc>
          <w:tcPr>
            <w:tcW w:w="1176" w:type="dxa"/>
            <w:vMerge w:val="restart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Indicators</w:t>
            </w:r>
          </w:p>
        </w:tc>
        <w:tc>
          <w:tcPr>
            <w:tcW w:w="1092" w:type="dxa"/>
            <w:vMerge w:val="restart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B</w:t>
            </w:r>
          </w:p>
        </w:tc>
        <w:tc>
          <w:tcPr>
            <w:tcW w:w="682" w:type="dxa"/>
            <w:vMerge w:val="restart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S.E.</w:t>
            </w:r>
          </w:p>
        </w:tc>
        <w:tc>
          <w:tcPr>
            <w:tcW w:w="888" w:type="dxa"/>
            <w:vMerge w:val="restart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Wald</w:t>
            </w:r>
          </w:p>
        </w:tc>
        <w:tc>
          <w:tcPr>
            <w:tcW w:w="620" w:type="dxa"/>
            <w:vMerge w:val="restart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df</w:t>
            </w:r>
          </w:p>
        </w:tc>
        <w:tc>
          <w:tcPr>
            <w:tcW w:w="680" w:type="dxa"/>
            <w:vMerge w:val="restart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Sig.</w:t>
            </w:r>
          </w:p>
        </w:tc>
        <w:tc>
          <w:tcPr>
            <w:tcW w:w="1006" w:type="dxa"/>
            <w:vMerge w:val="restart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Exp (B)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95% C.I. for EXP(B)</w:t>
            </w:r>
          </w:p>
        </w:tc>
      </w:tr>
      <w:tr w:rsidR="005E57D2" w:rsidRPr="00000A63" w:rsidTr="0058380D">
        <w:trPr>
          <w:trHeight w:val="341"/>
          <w:jc w:val="center"/>
        </w:trPr>
        <w:tc>
          <w:tcPr>
            <w:tcW w:w="1176" w:type="dxa"/>
            <w:vMerge/>
            <w:tcBorders>
              <w:top w:val="nil"/>
              <w:bottom w:val="single" w:sz="12" w:space="0" w:color="000000"/>
            </w:tcBorders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2" w:type="dxa"/>
            <w:vMerge/>
            <w:tcBorders>
              <w:top w:val="nil"/>
              <w:bottom w:val="single" w:sz="12" w:space="0" w:color="000000"/>
            </w:tcBorders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82" w:type="dxa"/>
            <w:vMerge/>
            <w:tcBorders>
              <w:top w:val="nil"/>
              <w:bottom w:val="single" w:sz="12" w:space="0" w:color="000000"/>
            </w:tcBorders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8" w:type="dxa"/>
            <w:vMerge/>
            <w:tcBorders>
              <w:top w:val="nil"/>
              <w:bottom w:val="single" w:sz="12" w:space="0" w:color="000000"/>
            </w:tcBorders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20" w:type="dxa"/>
            <w:vMerge/>
            <w:tcBorders>
              <w:top w:val="nil"/>
              <w:bottom w:val="single" w:sz="12" w:space="0" w:color="000000"/>
            </w:tcBorders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80" w:type="dxa"/>
            <w:vMerge/>
            <w:tcBorders>
              <w:top w:val="nil"/>
              <w:bottom w:val="single" w:sz="12" w:space="0" w:color="000000"/>
            </w:tcBorders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06" w:type="dxa"/>
            <w:vMerge/>
            <w:tcBorders>
              <w:top w:val="nil"/>
              <w:bottom w:val="single" w:sz="12" w:space="0" w:color="000000"/>
            </w:tcBorders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Lower</w:t>
            </w:r>
          </w:p>
        </w:tc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Upper</w:t>
            </w:r>
          </w:p>
        </w:tc>
      </w:tr>
      <w:tr w:rsidR="005E57D2" w:rsidRPr="00000A63" w:rsidTr="0058380D">
        <w:trPr>
          <w:trHeight w:val="354"/>
          <w:jc w:val="center"/>
        </w:trPr>
        <w:tc>
          <w:tcPr>
            <w:tcW w:w="117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RRM2</w:t>
            </w:r>
          </w:p>
        </w:tc>
        <w:tc>
          <w:tcPr>
            <w:tcW w:w="1092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.044</w:t>
            </w:r>
          </w:p>
        </w:tc>
        <w:tc>
          <w:tcPr>
            <w:tcW w:w="682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.011</w:t>
            </w:r>
          </w:p>
        </w:tc>
        <w:tc>
          <w:tcPr>
            <w:tcW w:w="88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14.535</w:t>
            </w:r>
          </w:p>
        </w:tc>
        <w:tc>
          <w:tcPr>
            <w:tcW w:w="620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.000</w:t>
            </w:r>
          </w:p>
        </w:tc>
        <w:tc>
          <w:tcPr>
            <w:tcW w:w="1006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1.045</w:t>
            </w:r>
          </w:p>
        </w:tc>
        <w:tc>
          <w:tcPr>
            <w:tcW w:w="1210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1.021</w:t>
            </w:r>
          </w:p>
        </w:tc>
        <w:tc>
          <w:tcPr>
            <w:tcW w:w="1200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1.068</w:t>
            </w:r>
          </w:p>
        </w:tc>
      </w:tr>
      <w:tr w:rsidR="005E57D2" w:rsidRPr="00000A63" w:rsidTr="0058380D">
        <w:trPr>
          <w:trHeight w:val="354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CEA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1.397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.324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18.570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.000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4.044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2.142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7.636</w:t>
            </w:r>
          </w:p>
        </w:tc>
      </w:tr>
      <w:tr w:rsidR="005E57D2" w:rsidRPr="00000A63" w:rsidTr="0058380D">
        <w:trPr>
          <w:trHeight w:val="354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NSE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.216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.072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8.948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.003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1.241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1.077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1.430</w:t>
            </w:r>
          </w:p>
        </w:tc>
      </w:tr>
      <w:tr w:rsidR="005E57D2" w:rsidRPr="00000A63" w:rsidTr="0058380D">
        <w:trPr>
          <w:trHeight w:val="354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Constant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-12.004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2.506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22.947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.000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.000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5E57D2" w:rsidRPr="00D926A0" w:rsidRDefault="005E57D2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5E57D2" w:rsidRDefault="005E57D2" w:rsidP="005E57D2">
      <w:pPr>
        <w:rPr>
          <w:rFonts w:ascii="Times New Roman" w:hAnsi="Times New Roman"/>
          <w:sz w:val="28"/>
          <w:szCs w:val="28"/>
        </w:rPr>
      </w:pPr>
    </w:p>
    <w:p w:rsidR="002B7F81" w:rsidRDefault="002B7F81"/>
    <w:sectPr w:rsidR="002B7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C54" w:rsidRDefault="009C0C54" w:rsidP="005E57D2">
      <w:r>
        <w:separator/>
      </w:r>
    </w:p>
  </w:endnote>
  <w:endnote w:type="continuationSeparator" w:id="0">
    <w:p w:rsidR="009C0C54" w:rsidRDefault="009C0C54" w:rsidP="005E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C54" w:rsidRDefault="009C0C54" w:rsidP="005E57D2">
      <w:r>
        <w:separator/>
      </w:r>
    </w:p>
  </w:footnote>
  <w:footnote w:type="continuationSeparator" w:id="0">
    <w:p w:rsidR="009C0C54" w:rsidRDefault="009C0C54" w:rsidP="005E5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312"/>
    <w:rsid w:val="00155918"/>
    <w:rsid w:val="002B7F81"/>
    <w:rsid w:val="0058380D"/>
    <w:rsid w:val="005E57D2"/>
    <w:rsid w:val="00695312"/>
    <w:rsid w:val="009C0C54"/>
    <w:rsid w:val="00C048D2"/>
    <w:rsid w:val="00F5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5069F7-EB98-49F4-9022-7065064F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7D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5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57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57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57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</cp:revision>
  <dcterms:created xsi:type="dcterms:W3CDTF">2022-01-28T15:29:00Z</dcterms:created>
  <dcterms:modified xsi:type="dcterms:W3CDTF">2022-02-16T15:11:00Z</dcterms:modified>
</cp:coreProperties>
</file>