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ADD" w:rsidRDefault="00C65ADD"/>
    <w:p w:rsidR="00895945" w:rsidRDefault="00895945" w:rsidP="00895945">
      <w:pPr>
        <w:rPr>
          <w:rFonts w:cstheme="minorHAnsi"/>
          <w:b/>
        </w:rPr>
      </w:pPr>
      <w:r w:rsidRPr="00025A41">
        <w:rPr>
          <w:rFonts w:cstheme="minorHAnsi"/>
          <w:b/>
        </w:rPr>
        <w:t xml:space="preserve">Transient increase in atherosclerotic plaque macrophage content following </w:t>
      </w:r>
      <w:r w:rsidRPr="00025A41">
        <w:rPr>
          <w:rFonts w:cstheme="minorHAnsi"/>
          <w:b/>
          <w:i/>
        </w:rPr>
        <w:t>Streptococcus pneumoniae</w:t>
      </w:r>
      <w:r w:rsidRPr="00025A41">
        <w:rPr>
          <w:rFonts w:cstheme="minorHAnsi"/>
          <w:b/>
        </w:rPr>
        <w:t xml:space="preserve"> pneumonia</w:t>
      </w:r>
      <w:r>
        <w:rPr>
          <w:rFonts w:cstheme="minorHAnsi"/>
          <w:b/>
        </w:rPr>
        <w:t xml:space="preserve"> – Supplementary data</w:t>
      </w:r>
    </w:p>
    <w:p w:rsidR="00355369" w:rsidRDefault="00355369" w:rsidP="00895945">
      <w:pPr>
        <w:rPr>
          <w:rFonts w:cstheme="minorHAnsi"/>
          <w:b/>
        </w:rPr>
      </w:pPr>
    </w:p>
    <w:p w:rsidR="00355369" w:rsidRPr="00025A41" w:rsidRDefault="00355369" w:rsidP="00895945">
      <w:pPr>
        <w:rPr>
          <w:rFonts w:cstheme="minorHAnsi"/>
          <w:b/>
        </w:rPr>
      </w:pPr>
    </w:p>
    <w:p w:rsidR="00895945" w:rsidRDefault="00895945">
      <w:pPr>
        <w:rPr>
          <w:b/>
        </w:rPr>
      </w:pPr>
      <w:r>
        <w:rPr>
          <w:b/>
        </w:rPr>
        <w:t>Supplementary figures</w:t>
      </w:r>
    </w:p>
    <w:p w:rsidR="00895945" w:rsidRDefault="00895945" w:rsidP="00895945">
      <w:pPr>
        <w:jc w:val="both"/>
      </w:pPr>
    </w:p>
    <w:p w:rsidR="00895945" w:rsidRDefault="00895945" w:rsidP="00895945">
      <w:pPr>
        <w:jc w:val="both"/>
        <w:rPr>
          <w:rFonts w:cs="Arial"/>
          <w:noProof/>
        </w:rPr>
      </w:pPr>
      <w:r>
        <w:rPr>
          <w:rFonts w:cs="Arial"/>
          <w:noProof/>
        </w:rPr>
        <w:object w:dxaOrig="6000" w:dyaOrig="47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3.75pt;height:194.25pt;mso-width-percent:0;mso-height-percent:0;mso-width-percent:0;mso-height-percent:0" o:ole="">
            <v:imagedata r:id="rId5" o:title=""/>
          </v:shape>
          <o:OLEObject Type="Embed" ProgID="Prism7.Document" ShapeID="_x0000_i1025" DrawAspect="Content" ObjectID="_1705782090" r:id="rId6"/>
        </w:object>
      </w:r>
    </w:p>
    <w:p w:rsidR="00895945" w:rsidRDefault="00355369" w:rsidP="00895945">
      <w:pPr>
        <w:jc w:val="both"/>
      </w:pPr>
      <w:proofErr w:type="gramStart"/>
      <w:r>
        <w:rPr>
          <w:b/>
        </w:rPr>
        <w:t>Supplementary Figure 1</w:t>
      </w:r>
      <w:r w:rsidR="00895945">
        <w:t>.</w:t>
      </w:r>
      <w:proofErr w:type="gramEnd"/>
      <w:r w:rsidR="00895945">
        <w:t xml:space="preserve"> </w:t>
      </w:r>
      <w:r w:rsidR="00895945" w:rsidRPr="00827F93">
        <w:rPr>
          <w:b/>
        </w:rPr>
        <w:t>Blood viable bacterial counts in male, Western diet fed ApoE</w:t>
      </w:r>
      <w:r w:rsidR="00895945" w:rsidRPr="00827F93">
        <w:rPr>
          <w:b/>
          <w:vertAlign w:val="superscript"/>
        </w:rPr>
        <w:t>-/-</w:t>
      </w:r>
      <w:r w:rsidR="00895945" w:rsidRPr="00827F93">
        <w:rPr>
          <w:b/>
        </w:rPr>
        <w:t xml:space="preserve"> mice 24 hours after intranasal instillation of serotype 4 </w:t>
      </w:r>
      <w:r w:rsidR="00895945" w:rsidRPr="00827F93">
        <w:rPr>
          <w:b/>
          <w:i/>
        </w:rPr>
        <w:t>S. pneumoniae</w:t>
      </w:r>
      <w:r w:rsidR="00895945" w:rsidRPr="00827F93">
        <w:rPr>
          <w:b/>
        </w:rPr>
        <w:t>.</w:t>
      </w:r>
      <w:r w:rsidR="00895945">
        <w:t xml:space="preserve"> Bacteria in blood following infection with 10</w:t>
      </w:r>
      <w:r w:rsidR="00895945" w:rsidRPr="00827F93">
        <w:rPr>
          <w:vertAlign w:val="superscript"/>
        </w:rPr>
        <w:t>5</w:t>
      </w:r>
      <w:r w:rsidR="00895945">
        <w:t>, 5 x 10</w:t>
      </w:r>
      <w:r w:rsidR="00895945" w:rsidRPr="00827F93">
        <w:rPr>
          <w:vertAlign w:val="superscript"/>
        </w:rPr>
        <w:t>4</w:t>
      </w:r>
      <w:r w:rsidR="00895945">
        <w:t xml:space="preserve"> or 10</w:t>
      </w:r>
      <w:r w:rsidR="00895945" w:rsidRPr="00827F93">
        <w:rPr>
          <w:vertAlign w:val="superscript"/>
        </w:rPr>
        <w:t>4</w:t>
      </w:r>
      <w:r w:rsidR="00895945">
        <w:t xml:space="preserve"> cfu serotype 4 pneumococci demonstrating consistent </w:t>
      </w:r>
      <w:proofErr w:type="spellStart"/>
      <w:r w:rsidR="00895945">
        <w:t>bacteremia</w:t>
      </w:r>
      <w:proofErr w:type="spellEnd"/>
      <w:r w:rsidR="00895945">
        <w:t xml:space="preserve"> following the 10</w:t>
      </w:r>
      <w:r w:rsidR="00895945" w:rsidRPr="00827F93">
        <w:rPr>
          <w:vertAlign w:val="superscript"/>
        </w:rPr>
        <w:t>5</w:t>
      </w:r>
      <w:r w:rsidR="00895945">
        <w:t xml:space="preserve"> cfu dose (n=3-5).  </w:t>
      </w:r>
    </w:p>
    <w:p w:rsidR="00094777" w:rsidRDefault="00094777" w:rsidP="00895945">
      <w:pPr>
        <w:jc w:val="both"/>
      </w:pPr>
    </w:p>
    <w:p w:rsidR="00094777" w:rsidRDefault="00094777" w:rsidP="00895945">
      <w:pPr>
        <w:jc w:val="both"/>
      </w:pPr>
    </w:p>
    <w:p w:rsidR="00094777" w:rsidRDefault="00094777" w:rsidP="00895945">
      <w:pPr>
        <w:jc w:val="both"/>
      </w:pPr>
    </w:p>
    <w:p w:rsidR="00094777" w:rsidRDefault="00094777" w:rsidP="00895945">
      <w:pPr>
        <w:jc w:val="both"/>
      </w:pPr>
    </w:p>
    <w:p w:rsidR="00094777" w:rsidRDefault="00094777" w:rsidP="00895945">
      <w:pPr>
        <w:jc w:val="both"/>
      </w:pPr>
    </w:p>
    <w:p w:rsidR="00094777" w:rsidRDefault="00094777" w:rsidP="00895945">
      <w:pPr>
        <w:jc w:val="both"/>
      </w:pPr>
    </w:p>
    <w:p w:rsidR="00094777" w:rsidRDefault="00094777" w:rsidP="00895945">
      <w:pPr>
        <w:jc w:val="both"/>
      </w:pPr>
    </w:p>
    <w:p w:rsidR="00094777" w:rsidRDefault="00094777" w:rsidP="00895945">
      <w:pPr>
        <w:jc w:val="both"/>
      </w:pPr>
    </w:p>
    <w:p w:rsidR="00094777" w:rsidRDefault="00094777" w:rsidP="00895945">
      <w:pPr>
        <w:jc w:val="both"/>
      </w:pPr>
    </w:p>
    <w:p w:rsidR="00094777" w:rsidRDefault="00094777" w:rsidP="00895945">
      <w:pPr>
        <w:jc w:val="both"/>
      </w:pPr>
    </w:p>
    <w:p w:rsidR="00094777" w:rsidRDefault="00094777" w:rsidP="00895945">
      <w:pPr>
        <w:jc w:val="both"/>
      </w:pPr>
    </w:p>
    <w:p w:rsidR="00094777" w:rsidRDefault="00094777" w:rsidP="00895945">
      <w:pPr>
        <w:jc w:val="both"/>
      </w:pPr>
    </w:p>
    <w:p w:rsidR="00094777" w:rsidRDefault="00094777" w:rsidP="00895945">
      <w:pPr>
        <w:jc w:val="both"/>
      </w:pPr>
      <w:r w:rsidRPr="00094777">
        <w:drawing>
          <wp:inline distT="0" distB="0" distL="0" distR="0" wp14:anchorId="720AA6D2" wp14:editId="5494666F">
            <wp:extent cx="5020376" cy="4048690"/>
            <wp:effectExtent l="0" t="0" r="889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20376" cy="404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5369" w:rsidRDefault="00094777" w:rsidP="00094777">
      <w:pPr>
        <w:jc w:val="both"/>
      </w:pPr>
      <w:proofErr w:type="gramStart"/>
      <w:r w:rsidRPr="00094777">
        <w:rPr>
          <w:b/>
        </w:rPr>
        <w:t>Supplementary Figure 2.</w:t>
      </w:r>
      <w:proofErr w:type="gramEnd"/>
      <w:r w:rsidRPr="00094777">
        <w:rPr>
          <w:b/>
        </w:rPr>
        <w:t xml:space="preserve"> </w:t>
      </w:r>
      <w:proofErr w:type="gramStart"/>
      <w:r w:rsidRPr="00094777">
        <w:rPr>
          <w:b/>
        </w:rPr>
        <w:t xml:space="preserve">Aortic sinus following </w:t>
      </w:r>
      <w:r w:rsidRPr="00094777">
        <w:rPr>
          <w:b/>
        </w:rPr>
        <w:t>8 weeks of Western diet feeding.</w:t>
      </w:r>
      <w:proofErr w:type="gramEnd"/>
      <w:r>
        <w:t xml:space="preserve"> </w:t>
      </w:r>
      <w:r>
        <w:t xml:space="preserve">Representative image of Miller’s Elastin/Modified Van </w:t>
      </w:r>
      <w:proofErr w:type="spellStart"/>
      <w:r>
        <w:t>Gieson</w:t>
      </w:r>
      <w:proofErr w:type="spellEnd"/>
      <w:r>
        <w:t xml:space="preserve"> stained aortic sinus section from a male </w:t>
      </w:r>
      <w:proofErr w:type="spellStart"/>
      <w:r>
        <w:t>ApoE</w:t>
      </w:r>
      <w:proofErr w:type="spellEnd"/>
      <w:r w:rsidRPr="00094777">
        <w:rPr>
          <w:vertAlign w:val="superscript"/>
        </w:rPr>
        <w:t>-/-</w:t>
      </w:r>
      <w:r>
        <w:t xml:space="preserve"> mouse fed Western diet for 8 wks. Arrow points to advanced atheromatous lesion. (</w:t>
      </w:r>
      <w:proofErr w:type="gramStart"/>
      <w:r>
        <w:t>x40</w:t>
      </w:r>
      <w:proofErr w:type="gramEnd"/>
      <w:r>
        <w:t xml:space="preserve"> magnification, scale bar 100 µm).</w:t>
      </w:r>
    </w:p>
    <w:p w:rsidR="00355369" w:rsidRDefault="00355369" w:rsidP="00895945">
      <w:pPr>
        <w:jc w:val="both"/>
      </w:pPr>
    </w:p>
    <w:p w:rsidR="00355369" w:rsidRDefault="00355369" w:rsidP="00895945">
      <w:pPr>
        <w:jc w:val="both"/>
      </w:pPr>
    </w:p>
    <w:p w:rsidR="00355369" w:rsidRDefault="00355369" w:rsidP="00895945">
      <w:pPr>
        <w:jc w:val="both"/>
      </w:pPr>
    </w:p>
    <w:p w:rsidR="00355369" w:rsidRDefault="00355369" w:rsidP="00895945">
      <w:pPr>
        <w:jc w:val="both"/>
      </w:pPr>
    </w:p>
    <w:p w:rsidR="00355369" w:rsidRDefault="00355369" w:rsidP="00895945">
      <w:pPr>
        <w:jc w:val="both"/>
      </w:pPr>
    </w:p>
    <w:p w:rsidR="00355369" w:rsidRDefault="00355369" w:rsidP="00895945">
      <w:pPr>
        <w:jc w:val="both"/>
      </w:pPr>
    </w:p>
    <w:p w:rsidR="00355369" w:rsidRDefault="00355369" w:rsidP="00895945">
      <w:pPr>
        <w:jc w:val="both"/>
      </w:pPr>
    </w:p>
    <w:p w:rsidR="00355369" w:rsidRDefault="00355369" w:rsidP="00895945">
      <w:pPr>
        <w:jc w:val="both"/>
      </w:pPr>
    </w:p>
    <w:p w:rsidR="00094777" w:rsidRDefault="00094777" w:rsidP="00895945">
      <w:pPr>
        <w:jc w:val="both"/>
      </w:pPr>
    </w:p>
    <w:p w:rsidR="00094777" w:rsidRDefault="00094777" w:rsidP="00895945">
      <w:pPr>
        <w:jc w:val="both"/>
      </w:pPr>
    </w:p>
    <w:p w:rsidR="00094777" w:rsidRDefault="00094777" w:rsidP="00895945">
      <w:pPr>
        <w:jc w:val="both"/>
      </w:pPr>
    </w:p>
    <w:p w:rsidR="00094777" w:rsidRDefault="00094777" w:rsidP="00895945">
      <w:pPr>
        <w:jc w:val="both"/>
      </w:pPr>
    </w:p>
    <w:p w:rsidR="00094777" w:rsidRDefault="00094777" w:rsidP="00895945">
      <w:pPr>
        <w:jc w:val="both"/>
      </w:pPr>
    </w:p>
    <w:p w:rsidR="00094777" w:rsidRDefault="00094777" w:rsidP="00895945">
      <w:pPr>
        <w:jc w:val="both"/>
      </w:pPr>
    </w:p>
    <w:p w:rsidR="004F128D" w:rsidRDefault="004F128D" w:rsidP="00895945">
      <w:pPr>
        <w:jc w:val="both"/>
      </w:pPr>
    </w:p>
    <w:p w:rsidR="004F128D" w:rsidRDefault="004F128D" w:rsidP="004F128D">
      <w:r>
        <w:object w:dxaOrig="11167" w:dyaOrig="4450">
          <v:shape id="_x0000_i1026" type="#_x0000_t75" style="width:451.5pt;height:180pt" o:ole="" filled="t">
            <v:imagedata r:id="rId8" o:title=""/>
          </v:shape>
          <o:OLEObject Type="Embed" ProgID="Prism9.Document" ShapeID="_x0000_i1026" DrawAspect="Content" ObjectID="_1705782091" r:id="rId9"/>
        </w:object>
      </w:r>
      <w:r w:rsidRPr="004F128D">
        <w:t xml:space="preserve"> </w:t>
      </w:r>
    </w:p>
    <w:p w:rsidR="004F128D" w:rsidRPr="00A157F8" w:rsidRDefault="00094777" w:rsidP="004F128D">
      <w:pPr>
        <w:pStyle w:val="Caption"/>
        <w:spacing w:after="0"/>
        <w:rPr>
          <w:sz w:val="22"/>
          <w:szCs w:val="22"/>
        </w:rPr>
      </w:pPr>
      <w:bookmarkStart w:id="0" w:name="_Toc468072889"/>
      <w:proofErr w:type="gramStart"/>
      <w:r>
        <w:rPr>
          <w:sz w:val="22"/>
          <w:szCs w:val="22"/>
        </w:rPr>
        <w:t>Supplementary Figure 3</w:t>
      </w:r>
      <w:r w:rsidR="004F128D">
        <w:rPr>
          <w:sz w:val="22"/>
          <w:szCs w:val="22"/>
        </w:rPr>
        <w:t>.</w:t>
      </w:r>
      <w:proofErr w:type="gramEnd"/>
      <w:r w:rsidR="004F128D" w:rsidRPr="00A157F8">
        <w:rPr>
          <w:color w:val="FFFFFF" w:themeColor="background1"/>
          <w:sz w:val="22"/>
          <w:szCs w:val="22"/>
        </w:rPr>
        <w:t xml:space="preserve"> </w:t>
      </w:r>
      <w:r w:rsidR="004F128D">
        <w:rPr>
          <w:sz w:val="22"/>
          <w:szCs w:val="22"/>
        </w:rPr>
        <w:t>Enrichment of lesion</w:t>
      </w:r>
      <w:r w:rsidR="004F128D" w:rsidRPr="00A157F8">
        <w:rPr>
          <w:sz w:val="22"/>
          <w:szCs w:val="22"/>
        </w:rPr>
        <w:t xml:space="preserve"> macrophage RNA following LCM </w:t>
      </w:r>
      <w:bookmarkEnd w:id="0"/>
    </w:p>
    <w:p w:rsidR="004F128D" w:rsidRDefault="004F128D" w:rsidP="004F128D">
      <w:pPr>
        <w:spacing w:after="0"/>
        <w:jc w:val="both"/>
      </w:pPr>
      <w:r>
        <w:t xml:space="preserve">qPCR analysis comparing expression of macrophage-specific marker CD68 (A) and smooth muscle marker </w:t>
      </w:r>
      <w:r>
        <w:rPr>
          <w:rFonts w:cstheme="minorHAnsi"/>
        </w:rPr>
        <w:t>ACTA2</w:t>
      </w:r>
      <w:r>
        <w:t xml:space="preserve"> (B) in LCM isolated plaque macrophage RNA compared with RNA extracted from whole aortic sinus sections (normalised to </w:t>
      </w:r>
      <w:proofErr w:type="spellStart"/>
      <w:r>
        <w:t>cyclophilin</w:t>
      </w:r>
      <w:proofErr w:type="spellEnd"/>
      <w:r>
        <w:t xml:space="preserve"> A), n=4. </w:t>
      </w:r>
    </w:p>
    <w:p w:rsidR="004F128D" w:rsidRDefault="004F128D" w:rsidP="00895945">
      <w:pPr>
        <w:jc w:val="both"/>
      </w:pPr>
    </w:p>
    <w:p w:rsidR="00895945" w:rsidRDefault="00895945" w:rsidP="008528E4">
      <w:pPr>
        <w:rPr>
          <w:b/>
        </w:rPr>
      </w:pPr>
    </w:p>
    <w:p w:rsidR="00A157F8" w:rsidRPr="00D459B2" w:rsidRDefault="00D459B2">
      <w:pPr>
        <w:rPr>
          <w:b/>
        </w:rPr>
      </w:pPr>
      <w:r w:rsidRPr="00D459B2">
        <w:rPr>
          <w:b/>
        </w:rPr>
        <w:t xml:space="preserve">Supplementary methods </w:t>
      </w:r>
    </w:p>
    <w:p w:rsidR="00D459B2" w:rsidRDefault="00D459B2">
      <w:pPr>
        <w:rPr>
          <w:b/>
        </w:rPr>
      </w:pPr>
      <w:r w:rsidRPr="00D459B2">
        <w:rPr>
          <w:b/>
        </w:rPr>
        <w:t>Immunohistochemistry</w:t>
      </w:r>
    </w:p>
    <w:p w:rsidR="00D459B2" w:rsidRDefault="00D459B2" w:rsidP="00D06FAE">
      <w:pPr>
        <w:jc w:val="both"/>
      </w:pPr>
      <w:r>
        <w:t xml:space="preserve">Aortic sinus sections were dewaxed in xylene, before rehydration through graded alcohols to water. Endogenous peroxidases were blocked with hydrogen peroxide (30% v/v; Sigma-Aldrich, UK) and sections were then incubated in a solution of 0.1% w/v milk buffer (commercially available Marvel skimmed milk powder) in PBS for 30 minutes to block non-specific binding of the secondary antibody. An antigen retrieval step was performed if necessary, after which sections were incubated with primary antibody overnight at 4°C or for 1 hour at room temperature.   Binding of the primary antibody to the target antigen was identified indirectly by incubating sections with biotinylated secondary antibody (1:200 dilution in PBS) for 30 minutes at room temperature, followed by avidin-biotinylated enzyme complexes with horseradish peroxidase (HRP) (Vectastain ABC-HRP kit , Vector Labs, UK) and finally the HRP substrate SigmaFAS 3,3′- diaminobenzidine tetrahydrochloride (DAB) (Sigma-Aldrich). Sections were counterstained with Carazzi’s haematoxylin, dehydrated through graded alcohols into xylene and finally mounted under coverslips with DPX. Antibodies used for immunohistochemistry are summarised in Supplementary Table 1. </w:t>
      </w:r>
    </w:p>
    <w:p w:rsidR="00094777" w:rsidRDefault="00094777" w:rsidP="00D06FAE">
      <w:pPr>
        <w:jc w:val="both"/>
      </w:pPr>
    </w:p>
    <w:p w:rsidR="00094777" w:rsidRDefault="00094777" w:rsidP="00D06FAE">
      <w:pPr>
        <w:jc w:val="both"/>
      </w:pPr>
    </w:p>
    <w:p w:rsidR="00D459B2" w:rsidRDefault="00D459B2"/>
    <w:tbl>
      <w:tblPr>
        <w:tblStyle w:val="TableGrid"/>
        <w:tblW w:w="8222" w:type="dxa"/>
        <w:tblLook w:val="04A0" w:firstRow="1" w:lastRow="0" w:firstColumn="1" w:lastColumn="0" w:noHBand="0" w:noVBand="1"/>
      </w:tblPr>
      <w:tblGrid>
        <w:gridCol w:w="1644"/>
        <w:gridCol w:w="1644"/>
        <w:gridCol w:w="1644"/>
        <w:gridCol w:w="1644"/>
        <w:gridCol w:w="1646"/>
      </w:tblGrid>
      <w:tr w:rsidR="00D459B2" w:rsidTr="00BE3160">
        <w:trPr>
          <w:trHeight w:val="862"/>
        </w:trPr>
        <w:tc>
          <w:tcPr>
            <w:tcW w:w="1644" w:type="dxa"/>
          </w:tcPr>
          <w:p w:rsidR="00D459B2" w:rsidRPr="00EC0A24" w:rsidRDefault="00D459B2" w:rsidP="00BE3160">
            <w:pPr>
              <w:jc w:val="center"/>
              <w:rPr>
                <w:b/>
              </w:rPr>
            </w:pPr>
            <w:r w:rsidRPr="00EC0A24">
              <w:rPr>
                <w:b/>
              </w:rPr>
              <w:t>Primary antibody</w:t>
            </w:r>
          </w:p>
        </w:tc>
        <w:tc>
          <w:tcPr>
            <w:tcW w:w="1644" w:type="dxa"/>
          </w:tcPr>
          <w:p w:rsidR="00D459B2" w:rsidRPr="00EC0A24" w:rsidRDefault="00D459B2" w:rsidP="00BE3160">
            <w:pPr>
              <w:jc w:val="center"/>
              <w:rPr>
                <w:b/>
              </w:rPr>
            </w:pPr>
            <w:r w:rsidRPr="00EC0A24">
              <w:rPr>
                <w:b/>
              </w:rPr>
              <w:t>Secondary antibody</w:t>
            </w:r>
          </w:p>
        </w:tc>
        <w:tc>
          <w:tcPr>
            <w:tcW w:w="1644" w:type="dxa"/>
          </w:tcPr>
          <w:p w:rsidR="00D459B2" w:rsidRPr="00EC0A24" w:rsidRDefault="00D459B2" w:rsidP="00BE3160">
            <w:pPr>
              <w:jc w:val="center"/>
              <w:rPr>
                <w:b/>
              </w:rPr>
            </w:pPr>
            <w:r w:rsidRPr="00EC0A24">
              <w:rPr>
                <w:b/>
              </w:rPr>
              <w:t>Antigen retrieval</w:t>
            </w:r>
          </w:p>
        </w:tc>
        <w:tc>
          <w:tcPr>
            <w:tcW w:w="1644" w:type="dxa"/>
          </w:tcPr>
          <w:p w:rsidR="00D459B2" w:rsidRPr="00EC0A24" w:rsidRDefault="00D459B2" w:rsidP="00BE3160">
            <w:pPr>
              <w:jc w:val="center"/>
              <w:rPr>
                <w:b/>
              </w:rPr>
            </w:pPr>
            <w:r w:rsidRPr="00EC0A24">
              <w:rPr>
                <w:b/>
              </w:rPr>
              <w:t>Dilution</w:t>
            </w:r>
          </w:p>
        </w:tc>
        <w:tc>
          <w:tcPr>
            <w:tcW w:w="1646" w:type="dxa"/>
          </w:tcPr>
          <w:p w:rsidR="00D459B2" w:rsidRPr="00EC0A24" w:rsidRDefault="00D459B2" w:rsidP="00BE3160">
            <w:pPr>
              <w:jc w:val="center"/>
              <w:rPr>
                <w:b/>
              </w:rPr>
            </w:pPr>
            <w:r w:rsidRPr="00EC0A24">
              <w:rPr>
                <w:b/>
              </w:rPr>
              <w:t>Incubation</w:t>
            </w:r>
          </w:p>
        </w:tc>
      </w:tr>
      <w:tr w:rsidR="00D459B2" w:rsidTr="00BE3160">
        <w:trPr>
          <w:trHeight w:val="862"/>
        </w:trPr>
        <w:tc>
          <w:tcPr>
            <w:tcW w:w="1644" w:type="dxa"/>
          </w:tcPr>
          <w:p w:rsidR="00D459B2" w:rsidRDefault="00D459B2" w:rsidP="00BE3160">
            <w:r>
              <w:t>MAC-3 (rat anti- mouse; BD Biosciences 553322)</w:t>
            </w:r>
          </w:p>
        </w:tc>
        <w:tc>
          <w:tcPr>
            <w:tcW w:w="1644" w:type="dxa"/>
          </w:tcPr>
          <w:p w:rsidR="00D459B2" w:rsidRDefault="00D459B2" w:rsidP="00BE3160">
            <w:r>
              <w:t>Biotinylated anti-rat IgG (Vector Laboratories BA-9400)</w:t>
            </w:r>
          </w:p>
        </w:tc>
        <w:tc>
          <w:tcPr>
            <w:tcW w:w="1644" w:type="dxa"/>
          </w:tcPr>
          <w:p w:rsidR="00D459B2" w:rsidRDefault="00D459B2" w:rsidP="00BE3160">
            <w:r>
              <w:t>Citrate buffer</w:t>
            </w:r>
          </w:p>
        </w:tc>
        <w:tc>
          <w:tcPr>
            <w:tcW w:w="1644" w:type="dxa"/>
          </w:tcPr>
          <w:p w:rsidR="00D459B2" w:rsidRDefault="00D459B2" w:rsidP="00BE3160">
            <w:r>
              <w:t>1:500</w:t>
            </w:r>
          </w:p>
        </w:tc>
        <w:tc>
          <w:tcPr>
            <w:tcW w:w="1646" w:type="dxa"/>
          </w:tcPr>
          <w:p w:rsidR="00D459B2" w:rsidRDefault="00D459B2" w:rsidP="00BE3160">
            <w:r>
              <w:t>Overnight at 4°C</w:t>
            </w:r>
          </w:p>
        </w:tc>
      </w:tr>
      <w:tr w:rsidR="00D459B2" w:rsidTr="00BE3160">
        <w:trPr>
          <w:trHeight w:val="862"/>
        </w:trPr>
        <w:tc>
          <w:tcPr>
            <w:tcW w:w="1644" w:type="dxa"/>
          </w:tcPr>
          <w:p w:rsidR="00D459B2" w:rsidRDefault="00D459B2" w:rsidP="00BE3160">
            <w:r>
              <w:t>α-smooth muscle actin (mouse monoclonal anti-human M0851, Dako)</w:t>
            </w:r>
          </w:p>
        </w:tc>
        <w:tc>
          <w:tcPr>
            <w:tcW w:w="1644" w:type="dxa"/>
          </w:tcPr>
          <w:p w:rsidR="00D459B2" w:rsidRDefault="00D459B2" w:rsidP="00BE3160">
            <w:r w:rsidRPr="00477D5F">
              <w:t xml:space="preserve">Biotinylated </w:t>
            </w:r>
            <w:r>
              <w:t>anti-mouse IgG (Vector Laboratories BA-9200)</w:t>
            </w:r>
          </w:p>
        </w:tc>
        <w:tc>
          <w:tcPr>
            <w:tcW w:w="1644" w:type="dxa"/>
          </w:tcPr>
          <w:p w:rsidR="00D459B2" w:rsidRDefault="00D459B2" w:rsidP="00BE3160">
            <w:r>
              <w:t>None</w:t>
            </w:r>
          </w:p>
        </w:tc>
        <w:tc>
          <w:tcPr>
            <w:tcW w:w="1644" w:type="dxa"/>
          </w:tcPr>
          <w:p w:rsidR="00D459B2" w:rsidRDefault="00D459B2" w:rsidP="00BE3160">
            <w:r>
              <w:t>1:150</w:t>
            </w:r>
          </w:p>
        </w:tc>
        <w:tc>
          <w:tcPr>
            <w:tcW w:w="1646" w:type="dxa"/>
          </w:tcPr>
          <w:p w:rsidR="00D459B2" w:rsidRDefault="00D459B2" w:rsidP="00BE3160">
            <w:r>
              <w:t>1 hour at RT</w:t>
            </w:r>
          </w:p>
        </w:tc>
      </w:tr>
      <w:tr w:rsidR="00D459B2" w:rsidTr="00BE3160">
        <w:trPr>
          <w:trHeight w:val="916"/>
        </w:trPr>
        <w:tc>
          <w:tcPr>
            <w:tcW w:w="1644" w:type="dxa"/>
          </w:tcPr>
          <w:p w:rsidR="00D459B2" w:rsidRDefault="00D459B2" w:rsidP="00BE3160">
            <w:r>
              <w:t>Ki67 (rabbit monoclonal, Abcam, ab1667)</w:t>
            </w:r>
          </w:p>
        </w:tc>
        <w:tc>
          <w:tcPr>
            <w:tcW w:w="1644" w:type="dxa"/>
          </w:tcPr>
          <w:p w:rsidR="00D459B2" w:rsidRDefault="00D459B2" w:rsidP="00BE3160">
            <w:r>
              <w:t>Biotinylated anti-rabbit IgG (Vector Laboratories BA-1000)</w:t>
            </w:r>
          </w:p>
        </w:tc>
        <w:tc>
          <w:tcPr>
            <w:tcW w:w="1644" w:type="dxa"/>
          </w:tcPr>
          <w:p w:rsidR="00D459B2" w:rsidRDefault="00D459B2" w:rsidP="00BE3160">
            <w:r>
              <w:t>Citrate buffer</w:t>
            </w:r>
          </w:p>
        </w:tc>
        <w:tc>
          <w:tcPr>
            <w:tcW w:w="1644" w:type="dxa"/>
          </w:tcPr>
          <w:p w:rsidR="00D459B2" w:rsidRDefault="00D459B2" w:rsidP="00BE3160">
            <w:r>
              <w:t>1:200</w:t>
            </w:r>
          </w:p>
        </w:tc>
        <w:tc>
          <w:tcPr>
            <w:tcW w:w="1646" w:type="dxa"/>
          </w:tcPr>
          <w:p w:rsidR="00D459B2" w:rsidRDefault="00D459B2" w:rsidP="00BE3160">
            <w:r>
              <w:t>Overnight at 4°C</w:t>
            </w:r>
          </w:p>
        </w:tc>
      </w:tr>
    </w:tbl>
    <w:p w:rsidR="00D459B2" w:rsidRPr="00D459B2" w:rsidRDefault="00D459B2"/>
    <w:p w:rsidR="00A157F8" w:rsidRDefault="00D459B2">
      <w:r w:rsidRPr="00D459B2">
        <w:rPr>
          <w:b/>
        </w:rPr>
        <w:t>Supplementary</w:t>
      </w:r>
      <w:r>
        <w:t xml:space="preserve"> </w:t>
      </w:r>
      <w:r w:rsidRPr="00D459B2">
        <w:rPr>
          <w:b/>
        </w:rPr>
        <w:t>Table 1.</w:t>
      </w:r>
      <w:r w:rsidRPr="00D459B2">
        <w:t xml:space="preserve"> </w:t>
      </w:r>
      <w:r w:rsidRPr="00F360E3">
        <w:t>Antibodies used for immunohistochemistry</w:t>
      </w:r>
      <w:r>
        <w:t>.</w:t>
      </w:r>
    </w:p>
    <w:p w:rsidR="00D7587C" w:rsidRPr="00D7587C" w:rsidRDefault="00D7587C" w:rsidP="00D7587C">
      <w:pPr>
        <w:pStyle w:val="Heading3"/>
        <w:rPr>
          <w:sz w:val="22"/>
          <w:szCs w:val="22"/>
        </w:rPr>
      </w:pPr>
      <w:bookmarkStart w:id="1" w:name="_Toc468051753"/>
      <w:r w:rsidRPr="00D7587C">
        <w:rPr>
          <w:sz w:val="22"/>
          <w:szCs w:val="22"/>
        </w:rPr>
        <w:t>MAC-3 immunostaining of cryo-sections</w:t>
      </w:r>
      <w:bookmarkEnd w:id="1"/>
    </w:p>
    <w:p w:rsidR="00D7587C" w:rsidRDefault="00D7587C" w:rsidP="00D7587C">
      <w:pPr>
        <w:tabs>
          <w:tab w:val="left" w:pos="142"/>
        </w:tabs>
        <w:spacing w:after="0"/>
      </w:pPr>
      <w:r>
        <w:t>Immunohistochemical staining for the macrophage marker MAC-3 was performed on every 5</w:t>
      </w:r>
      <w:r>
        <w:rPr>
          <w:vertAlign w:val="superscript"/>
        </w:rPr>
        <w:t xml:space="preserve">th </w:t>
      </w:r>
      <w:r>
        <w:t xml:space="preserve">aortic sinus cryo-section to be used as guide slides to direct LCM of plaque macrophages on the remaining Toluidine blue stained cryo-sections. Sections were fixed in ice cold acetone for 10 minutes, then rinsed in 3 changes of PBS followed by incubation for 10 minutes with Bloxall (Vector Laboratories, UK), an endogenous peroxidase and alkaline phosphatase blocking solution, before rinsing again in 3 changes of PBS. Slides were incubated in </w:t>
      </w:r>
      <w:r w:rsidRPr="00E1391B">
        <w:t>4%</w:t>
      </w:r>
      <w:r>
        <w:t xml:space="preserve"> v/v</w:t>
      </w:r>
      <w:r w:rsidRPr="00E1391B">
        <w:t xml:space="preserve"> rabbit serum</w:t>
      </w:r>
      <w:r>
        <w:t xml:space="preserve"> (Vector Laboratories)</w:t>
      </w:r>
      <w:r w:rsidRPr="00E1391B">
        <w:t xml:space="preserve"> </w:t>
      </w:r>
      <w:r>
        <w:t xml:space="preserve">in PBS </w:t>
      </w:r>
      <w:r w:rsidRPr="00E1391B">
        <w:t>for 15 minutes</w:t>
      </w:r>
      <w:r>
        <w:t xml:space="preserve"> then incubated in primary antibody (rat anti-mouse MAC-3 (BD Biosciences 550292) 1:200 dilution </w:t>
      </w:r>
      <w:r w:rsidRPr="00E1391B">
        <w:t>in 4%</w:t>
      </w:r>
      <w:r>
        <w:t xml:space="preserve"> rabbit serum) for 1 hour at room temperature, then rinsed in 3 changes of PBS. </w:t>
      </w:r>
      <w:r w:rsidR="006F3630">
        <w:t xml:space="preserve">Sections were incubated in secondary antibody (biotinylated rabbit anti-rat IgG mouse adsorbed </w:t>
      </w:r>
      <w:r w:rsidR="006F3630" w:rsidRPr="00E1391B">
        <w:t>antibody</w:t>
      </w:r>
      <w:r w:rsidR="006F3630">
        <w:t xml:space="preserve"> (Vector Laboratories, BA-4001) 1:200 dilution </w:t>
      </w:r>
      <w:r w:rsidR="006F3630" w:rsidRPr="00E1391B">
        <w:t>in 4% rabbit serum</w:t>
      </w:r>
      <w:r w:rsidR="006F3630">
        <w:t xml:space="preserve">) for 15 minutes, followed by Vectastain ABC-HRP and then DAB before counterstaining with Carazzi’s haematoxylin and dehydration through graded alcohols into xylene and finally mounted under coverslips with DPX. </w:t>
      </w:r>
    </w:p>
    <w:p w:rsidR="004F128D" w:rsidRDefault="004F128D" w:rsidP="00D7587C">
      <w:pPr>
        <w:tabs>
          <w:tab w:val="left" w:pos="142"/>
        </w:tabs>
        <w:spacing w:after="0"/>
      </w:pPr>
    </w:p>
    <w:p w:rsidR="004F128D" w:rsidRDefault="004F128D" w:rsidP="00D7587C">
      <w:pPr>
        <w:tabs>
          <w:tab w:val="left" w:pos="142"/>
        </w:tabs>
        <w:spacing w:after="0"/>
      </w:pPr>
    </w:p>
    <w:p w:rsidR="004F128D" w:rsidRDefault="004F128D" w:rsidP="00D7587C">
      <w:pPr>
        <w:tabs>
          <w:tab w:val="left" w:pos="142"/>
        </w:tabs>
        <w:spacing w:after="0"/>
      </w:pPr>
    </w:p>
    <w:p w:rsidR="004F128D" w:rsidRDefault="004F128D" w:rsidP="00D7587C">
      <w:pPr>
        <w:tabs>
          <w:tab w:val="left" w:pos="142"/>
        </w:tabs>
        <w:spacing w:after="0"/>
      </w:pPr>
    </w:p>
    <w:p w:rsidR="004F128D" w:rsidRDefault="004F128D" w:rsidP="00D7587C">
      <w:pPr>
        <w:tabs>
          <w:tab w:val="left" w:pos="142"/>
        </w:tabs>
        <w:spacing w:after="0"/>
      </w:pPr>
    </w:p>
    <w:p w:rsidR="004F128D" w:rsidRDefault="004F128D" w:rsidP="00D7587C">
      <w:pPr>
        <w:tabs>
          <w:tab w:val="left" w:pos="142"/>
        </w:tabs>
        <w:spacing w:after="0"/>
      </w:pPr>
    </w:p>
    <w:p w:rsidR="004F128D" w:rsidRDefault="004F128D" w:rsidP="00D7587C">
      <w:pPr>
        <w:tabs>
          <w:tab w:val="left" w:pos="142"/>
        </w:tabs>
        <w:spacing w:after="0"/>
      </w:pPr>
    </w:p>
    <w:p w:rsidR="004F128D" w:rsidRDefault="004F128D" w:rsidP="00D7587C">
      <w:pPr>
        <w:tabs>
          <w:tab w:val="left" w:pos="142"/>
        </w:tabs>
        <w:spacing w:after="0"/>
      </w:pPr>
    </w:p>
    <w:p w:rsidR="004F128D" w:rsidRDefault="004F128D" w:rsidP="00D7587C">
      <w:pPr>
        <w:tabs>
          <w:tab w:val="left" w:pos="142"/>
        </w:tabs>
        <w:spacing w:after="0"/>
      </w:pPr>
    </w:p>
    <w:p w:rsidR="004F128D" w:rsidRDefault="004F128D" w:rsidP="00D7587C">
      <w:pPr>
        <w:tabs>
          <w:tab w:val="left" w:pos="142"/>
        </w:tabs>
        <w:spacing w:after="0"/>
      </w:pPr>
    </w:p>
    <w:p w:rsidR="004F128D" w:rsidRDefault="004F128D" w:rsidP="00D7587C">
      <w:pPr>
        <w:tabs>
          <w:tab w:val="left" w:pos="142"/>
        </w:tabs>
        <w:spacing w:after="0"/>
      </w:pPr>
    </w:p>
    <w:p w:rsidR="004F128D" w:rsidRDefault="004F128D" w:rsidP="00D7587C">
      <w:pPr>
        <w:tabs>
          <w:tab w:val="left" w:pos="142"/>
        </w:tabs>
        <w:spacing w:after="0"/>
      </w:pPr>
    </w:p>
    <w:p w:rsidR="004F128D" w:rsidRDefault="004F128D" w:rsidP="00D7587C">
      <w:pPr>
        <w:tabs>
          <w:tab w:val="left" w:pos="142"/>
        </w:tabs>
        <w:spacing w:after="0"/>
      </w:pPr>
    </w:p>
    <w:p w:rsidR="004F128D" w:rsidRDefault="004F128D" w:rsidP="00D7587C">
      <w:pPr>
        <w:tabs>
          <w:tab w:val="left" w:pos="142"/>
        </w:tabs>
        <w:spacing w:after="0"/>
      </w:pPr>
    </w:p>
    <w:p w:rsidR="002A4B83" w:rsidRDefault="002A4B83" w:rsidP="00D7587C">
      <w:pPr>
        <w:tabs>
          <w:tab w:val="left" w:pos="142"/>
        </w:tabs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07"/>
        <w:gridCol w:w="4207"/>
      </w:tblGrid>
      <w:tr w:rsidR="002A4B83" w:rsidTr="00135535">
        <w:tc>
          <w:tcPr>
            <w:tcW w:w="4207" w:type="dxa"/>
          </w:tcPr>
          <w:p w:rsidR="002A4B83" w:rsidRPr="00C81B1E" w:rsidRDefault="002A4B83" w:rsidP="00135535">
            <w:pPr>
              <w:autoSpaceDE w:val="0"/>
              <w:autoSpaceDN w:val="0"/>
              <w:adjustRightInd w:val="0"/>
              <w:spacing w:line="480" w:lineRule="auto"/>
              <w:rPr>
                <w:b/>
              </w:rPr>
            </w:pPr>
            <w:r w:rsidRPr="00C81B1E">
              <w:rPr>
                <w:b/>
              </w:rPr>
              <w:t>Gene</w:t>
            </w:r>
          </w:p>
        </w:tc>
        <w:tc>
          <w:tcPr>
            <w:tcW w:w="4207" w:type="dxa"/>
          </w:tcPr>
          <w:p w:rsidR="002A4B83" w:rsidRPr="00C81B1E" w:rsidRDefault="002A4B83" w:rsidP="00135535">
            <w:pPr>
              <w:autoSpaceDE w:val="0"/>
              <w:autoSpaceDN w:val="0"/>
              <w:adjustRightInd w:val="0"/>
              <w:spacing w:line="480" w:lineRule="auto"/>
              <w:rPr>
                <w:b/>
              </w:rPr>
            </w:pPr>
            <w:r w:rsidRPr="00C81B1E">
              <w:rPr>
                <w:b/>
              </w:rPr>
              <w:t>Primer (Life Technologies, UK)</w:t>
            </w:r>
          </w:p>
        </w:tc>
      </w:tr>
      <w:tr w:rsidR="002A4B83" w:rsidTr="00135535">
        <w:tc>
          <w:tcPr>
            <w:tcW w:w="4207" w:type="dxa"/>
          </w:tcPr>
          <w:p w:rsidR="002A4B83" w:rsidRDefault="002A4B83" w:rsidP="00135535">
            <w:pPr>
              <w:autoSpaceDE w:val="0"/>
              <w:autoSpaceDN w:val="0"/>
              <w:adjustRightInd w:val="0"/>
              <w:spacing w:line="480" w:lineRule="auto"/>
            </w:pPr>
            <w:r>
              <w:t>18S</w:t>
            </w:r>
          </w:p>
        </w:tc>
        <w:tc>
          <w:tcPr>
            <w:tcW w:w="4207" w:type="dxa"/>
          </w:tcPr>
          <w:p w:rsidR="002A4B83" w:rsidRDefault="002A4B83" w:rsidP="00135535">
            <w:pPr>
              <w:autoSpaceDE w:val="0"/>
              <w:autoSpaceDN w:val="0"/>
              <w:adjustRightInd w:val="0"/>
              <w:spacing w:line="480" w:lineRule="auto"/>
            </w:pPr>
            <w:r w:rsidRPr="00C81B1E">
              <w:t xml:space="preserve">Mm03928990_g1      </w:t>
            </w:r>
          </w:p>
        </w:tc>
      </w:tr>
      <w:tr w:rsidR="002A4B83" w:rsidTr="00135535">
        <w:tc>
          <w:tcPr>
            <w:tcW w:w="4207" w:type="dxa"/>
          </w:tcPr>
          <w:p w:rsidR="002A4B83" w:rsidRDefault="002A4B83" w:rsidP="00135535">
            <w:pPr>
              <w:autoSpaceDE w:val="0"/>
              <w:autoSpaceDN w:val="0"/>
              <w:adjustRightInd w:val="0"/>
              <w:spacing w:line="480" w:lineRule="auto"/>
            </w:pPr>
            <w:proofErr w:type="spellStart"/>
            <w:r>
              <w:t>Ppia</w:t>
            </w:r>
            <w:proofErr w:type="spellEnd"/>
            <w:r>
              <w:t xml:space="preserve"> (</w:t>
            </w:r>
            <w:proofErr w:type="spellStart"/>
            <w:r>
              <w:t>Cyclophilin</w:t>
            </w:r>
            <w:proofErr w:type="spellEnd"/>
            <w:r>
              <w:t xml:space="preserve"> A)</w:t>
            </w:r>
          </w:p>
        </w:tc>
        <w:tc>
          <w:tcPr>
            <w:tcW w:w="4207" w:type="dxa"/>
          </w:tcPr>
          <w:p w:rsidR="002A4B83" w:rsidRPr="00C81B1E" w:rsidRDefault="002A4B83" w:rsidP="00135535">
            <w:pPr>
              <w:autoSpaceDE w:val="0"/>
              <w:autoSpaceDN w:val="0"/>
              <w:adjustRightInd w:val="0"/>
              <w:spacing w:line="480" w:lineRule="auto"/>
            </w:pPr>
            <w:r w:rsidRPr="00C81B1E">
              <w:t xml:space="preserve">Mm02342430_g1         </w:t>
            </w:r>
          </w:p>
        </w:tc>
      </w:tr>
      <w:tr w:rsidR="002A4B83" w:rsidTr="00135535">
        <w:tc>
          <w:tcPr>
            <w:tcW w:w="4207" w:type="dxa"/>
          </w:tcPr>
          <w:p w:rsidR="002A4B83" w:rsidRDefault="002A4B83" w:rsidP="00135535">
            <w:pPr>
              <w:autoSpaceDE w:val="0"/>
              <w:autoSpaceDN w:val="0"/>
              <w:adjustRightInd w:val="0"/>
              <w:spacing w:line="480" w:lineRule="auto"/>
            </w:pPr>
            <w:r w:rsidRPr="00C81B1E">
              <w:t>CD68</w:t>
            </w:r>
          </w:p>
        </w:tc>
        <w:tc>
          <w:tcPr>
            <w:tcW w:w="4207" w:type="dxa"/>
          </w:tcPr>
          <w:p w:rsidR="002A4B83" w:rsidRDefault="002A4B83" w:rsidP="00135535">
            <w:pPr>
              <w:autoSpaceDE w:val="0"/>
              <w:autoSpaceDN w:val="0"/>
              <w:adjustRightInd w:val="0"/>
              <w:spacing w:line="480" w:lineRule="auto"/>
            </w:pPr>
            <w:r w:rsidRPr="00BF3AA8">
              <w:t xml:space="preserve">Mm03047343_m1       </w:t>
            </w:r>
          </w:p>
        </w:tc>
      </w:tr>
      <w:tr w:rsidR="002A4B83" w:rsidTr="00135535">
        <w:tc>
          <w:tcPr>
            <w:tcW w:w="4207" w:type="dxa"/>
          </w:tcPr>
          <w:p w:rsidR="002A4B83" w:rsidRDefault="002A4B83" w:rsidP="00135535">
            <w:pPr>
              <w:autoSpaceDE w:val="0"/>
              <w:autoSpaceDN w:val="0"/>
              <w:adjustRightInd w:val="0"/>
              <w:spacing w:line="480" w:lineRule="auto"/>
            </w:pPr>
            <w:proofErr w:type="spellStart"/>
            <w:r w:rsidRPr="00C81B1E">
              <w:t>Acta</w:t>
            </w:r>
            <w:proofErr w:type="spellEnd"/>
            <w:r w:rsidRPr="00C81B1E">
              <w:t xml:space="preserve"> 2</w:t>
            </w:r>
            <w:r>
              <w:t xml:space="preserve"> (smooth muscle actin)</w:t>
            </w:r>
          </w:p>
        </w:tc>
        <w:tc>
          <w:tcPr>
            <w:tcW w:w="4207" w:type="dxa"/>
          </w:tcPr>
          <w:p w:rsidR="002A4B83" w:rsidRDefault="002A4B83" w:rsidP="00135535">
            <w:pPr>
              <w:autoSpaceDE w:val="0"/>
              <w:autoSpaceDN w:val="0"/>
              <w:adjustRightInd w:val="0"/>
              <w:spacing w:line="480" w:lineRule="auto"/>
            </w:pPr>
            <w:r w:rsidRPr="00C81B1E">
              <w:t xml:space="preserve">Mm01204962_gH        </w:t>
            </w:r>
          </w:p>
        </w:tc>
      </w:tr>
      <w:tr w:rsidR="002A4B83" w:rsidTr="00135535">
        <w:tc>
          <w:tcPr>
            <w:tcW w:w="4207" w:type="dxa"/>
          </w:tcPr>
          <w:p w:rsidR="002A4B83" w:rsidRPr="00C81B1E" w:rsidRDefault="002A4B83" w:rsidP="00135535">
            <w:pPr>
              <w:autoSpaceDE w:val="0"/>
              <w:autoSpaceDN w:val="0"/>
              <w:adjustRightInd w:val="0"/>
              <w:spacing w:line="480" w:lineRule="auto"/>
            </w:pPr>
            <w:r w:rsidRPr="00BF3AA8">
              <w:t>Itch</w:t>
            </w:r>
          </w:p>
        </w:tc>
        <w:tc>
          <w:tcPr>
            <w:tcW w:w="4207" w:type="dxa"/>
          </w:tcPr>
          <w:p w:rsidR="002A4B83" w:rsidRPr="00C81B1E" w:rsidRDefault="002A4B83" w:rsidP="00135535">
            <w:pPr>
              <w:autoSpaceDE w:val="0"/>
              <w:autoSpaceDN w:val="0"/>
              <w:adjustRightInd w:val="0"/>
              <w:spacing w:line="480" w:lineRule="auto"/>
            </w:pPr>
            <w:r w:rsidRPr="00BF3AA8">
              <w:t xml:space="preserve">Mm00492683_m1     </w:t>
            </w:r>
          </w:p>
        </w:tc>
      </w:tr>
      <w:tr w:rsidR="002A4B83" w:rsidTr="00135535">
        <w:tc>
          <w:tcPr>
            <w:tcW w:w="4207" w:type="dxa"/>
          </w:tcPr>
          <w:p w:rsidR="002A4B83" w:rsidRPr="00C81B1E" w:rsidRDefault="002A4B83" w:rsidP="00135535">
            <w:pPr>
              <w:autoSpaceDE w:val="0"/>
              <w:autoSpaceDN w:val="0"/>
              <w:adjustRightInd w:val="0"/>
              <w:spacing w:line="480" w:lineRule="auto"/>
            </w:pPr>
            <w:r w:rsidRPr="00BF3AA8">
              <w:t>Anapc1</w:t>
            </w:r>
          </w:p>
        </w:tc>
        <w:tc>
          <w:tcPr>
            <w:tcW w:w="4207" w:type="dxa"/>
          </w:tcPr>
          <w:p w:rsidR="002A4B83" w:rsidRPr="00C81B1E" w:rsidRDefault="002A4B83" w:rsidP="00135535">
            <w:pPr>
              <w:autoSpaceDE w:val="0"/>
              <w:autoSpaceDN w:val="0"/>
              <w:adjustRightInd w:val="0"/>
              <w:spacing w:line="480" w:lineRule="auto"/>
            </w:pPr>
            <w:r w:rsidRPr="00BF3AA8">
              <w:t xml:space="preserve">Mm01336123_m1   </w:t>
            </w:r>
          </w:p>
        </w:tc>
      </w:tr>
      <w:tr w:rsidR="002A4B83" w:rsidTr="00135535">
        <w:tc>
          <w:tcPr>
            <w:tcW w:w="4207" w:type="dxa"/>
          </w:tcPr>
          <w:p w:rsidR="002A4B83" w:rsidRPr="00C81B1E" w:rsidRDefault="002A4B83" w:rsidP="00135535">
            <w:pPr>
              <w:autoSpaceDE w:val="0"/>
              <w:autoSpaceDN w:val="0"/>
              <w:adjustRightInd w:val="0"/>
              <w:spacing w:line="480" w:lineRule="auto"/>
            </w:pPr>
            <w:r w:rsidRPr="00BF3AA8">
              <w:t>Huwe1</w:t>
            </w:r>
          </w:p>
        </w:tc>
        <w:tc>
          <w:tcPr>
            <w:tcW w:w="4207" w:type="dxa"/>
          </w:tcPr>
          <w:p w:rsidR="002A4B83" w:rsidRPr="00C81B1E" w:rsidRDefault="002A4B83" w:rsidP="00135535">
            <w:pPr>
              <w:autoSpaceDE w:val="0"/>
              <w:autoSpaceDN w:val="0"/>
              <w:adjustRightInd w:val="0"/>
              <w:spacing w:line="480" w:lineRule="auto"/>
            </w:pPr>
            <w:r w:rsidRPr="00BF3AA8">
              <w:t>Mm00615533_m1</w:t>
            </w:r>
          </w:p>
        </w:tc>
      </w:tr>
    </w:tbl>
    <w:p w:rsidR="002A4B83" w:rsidRDefault="002A4B83" w:rsidP="00D7587C">
      <w:pPr>
        <w:tabs>
          <w:tab w:val="left" w:pos="142"/>
        </w:tabs>
        <w:spacing w:after="0"/>
      </w:pPr>
    </w:p>
    <w:p w:rsidR="002A4B83" w:rsidRDefault="002A4B83" w:rsidP="002A4B83">
      <w:pPr>
        <w:spacing w:after="0"/>
      </w:pPr>
    </w:p>
    <w:p w:rsidR="002A4B83" w:rsidRDefault="002A4B83" w:rsidP="002A4B83">
      <w:pPr>
        <w:spacing w:after="0"/>
      </w:pPr>
      <w:r w:rsidRPr="00743449">
        <w:rPr>
          <w:b/>
        </w:rPr>
        <w:t xml:space="preserve">Supplementary </w:t>
      </w:r>
      <w:r>
        <w:rPr>
          <w:b/>
        </w:rPr>
        <w:t>Table 2</w:t>
      </w:r>
      <w:r w:rsidRPr="00743449">
        <w:rPr>
          <w:b/>
        </w:rPr>
        <w:t>.</w:t>
      </w:r>
      <w:r>
        <w:t xml:space="preserve"> mRNA qPCR assay primers  </w:t>
      </w:r>
    </w:p>
    <w:p w:rsidR="002A4B83" w:rsidRDefault="002A4B83" w:rsidP="002A4B83">
      <w:pPr>
        <w:spacing w:after="0"/>
      </w:pPr>
    </w:p>
    <w:p w:rsidR="002A4B83" w:rsidRDefault="002A4B83" w:rsidP="002A4B83">
      <w:pPr>
        <w:spacing w:after="0"/>
      </w:pPr>
    </w:p>
    <w:p w:rsidR="002A4B83" w:rsidRDefault="002A4B83" w:rsidP="002A4B83">
      <w:pPr>
        <w:spacing w:after="0"/>
      </w:pPr>
    </w:p>
    <w:p w:rsidR="002A4B83" w:rsidRDefault="002A4B83" w:rsidP="002A4B83">
      <w:pPr>
        <w:spacing w:after="0"/>
      </w:pPr>
    </w:p>
    <w:p w:rsidR="00A157F8" w:rsidRDefault="00A157F8"/>
    <w:p w:rsidR="00A157F8" w:rsidRDefault="00A157F8" w:rsidP="00394196">
      <w:pPr>
        <w:spacing w:after="0"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82"/>
        <w:gridCol w:w="1683"/>
        <w:gridCol w:w="1683"/>
        <w:gridCol w:w="1683"/>
        <w:gridCol w:w="1683"/>
      </w:tblGrid>
      <w:tr w:rsidR="00A157F8" w:rsidTr="00BE3160">
        <w:tc>
          <w:tcPr>
            <w:tcW w:w="1682" w:type="dxa"/>
          </w:tcPr>
          <w:p w:rsidR="00A157F8" w:rsidRPr="00C70C51" w:rsidRDefault="00A157F8" w:rsidP="00BE3160">
            <w:pPr>
              <w:spacing w:line="276" w:lineRule="auto"/>
              <w:rPr>
                <w:b/>
              </w:rPr>
            </w:pPr>
            <w:r w:rsidRPr="00C70C51">
              <w:rPr>
                <w:b/>
              </w:rPr>
              <w:t>Affymetrix probe</w:t>
            </w:r>
          </w:p>
          <w:p w:rsidR="00A157F8" w:rsidRPr="00C70C51" w:rsidRDefault="00A157F8" w:rsidP="00BE3160">
            <w:pPr>
              <w:spacing w:line="276" w:lineRule="auto"/>
              <w:rPr>
                <w:b/>
              </w:rPr>
            </w:pPr>
            <w:r w:rsidRPr="00C70C51">
              <w:rPr>
                <w:b/>
              </w:rPr>
              <w:t>ID</w:t>
            </w:r>
          </w:p>
        </w:tc>
        <w:tc>
          <w:tcPr>
            <w:tcW w:w="1683" w:type="dxa"/>
          </w:tcPr>
          <w:p w:rsidR="00A157F8" w:rsidRPr="00C70C51" w:rsidRDefault="00A157F8" w:rsidP="00BE3160">
            <w:pPr>
              <w:spacing w:line="480" w:lineRule="auto"/>
              <w:rPr>
                <w:b/>
              </w:rPr>
            </w:pPr>
            <w:r w:rsidRPr="00C70C51">
              <w:rPr>
                <w:b/>
              </w:rPr>
              <w:t>Gene Symbol</w:t>
            </w:r>
          </w:p>
        </w:tc>
        <w:tc>
          <w:tcPr>
            <w:tcW w:w="1683" w:type="dxa"/>
          </w:tcPr>
          <w:p w:rsidR="00A157F8" w:rsidRPr="00C70C51" w:rsidRDefault="00A157F8" w:rsidP="00BE3160">
            <w:pPr>
              <w:spacing w:line="480" w:lineRule="auto"/>
              <w:rPr>
                <w:b/>
              </w:rPr>
            </w:pPr>
            <w:r>
              <w:rPr>
                <w:b/>
              </w:rPr>
              <w:t xml:space="preserve">Log2 </w:t>
            </w:r>
            <w:r w:rsidRPr="00C70C51">
              <w:rPr>
                <w:b/>
              </w:rPr>
              <w:t>F</w:t>
            </w:r>
            <w:r>
              <w:rPr>
                <w:b/>
              </w:rPr>
              <w:t xml:space="preserve">old </w:t>
            </w:r>
            <w:r w:rsidRPr="00C70C51">
              <w:rPr>
                <w:b/>
              </w:rPr>
              <w:t>change</w:t>
            </w:r>
          </w:p>
        </w:tc>
        <w:tc>
          <w:tcPr>
            <w:tcW w:w="1683" w:type="dxa"/>
          </w:tcPr>
          <w:p w:rsidR="00A157F8" w:rsidRPr="00C70C51" w:rsidRDefault="00A157F8" w:rsidP="00BE3160">
            <w:pPr>
              <w:spacing w:line="480" w:lineRule="auto"/>
              <w:rPr>
                <w:b/>
              </w:rPr>
            </w:pPr>
            <w:r w:rsidRPr="00C70C51">
              <w:rPr>
                <w:b/>
              </w:rPr>
              <w:t>p value</w:t>
            </w:r>
          </w:p>
        </w:tc>
        <w:tc>
          <w:tcPr>
            <w:tcW w:w="1683" w:type="dxa"/>
          </w:tcPr>
          <w:p w:rsidR="00A157F8" w:rsidRPr="00C70C51" w:rsidRDefault="00A157F8" w:rsidP="00BE3160">
            <w:pPr>
              <w:spacing w:line="480" w:lineRule="auto"/>
              <w:rPr>
                <w:b/>
              </w:rPr>
            </w:pPr>
            <w:r w:rsidRPr="00C70C51">
              <w:rPr>
                <w:b/>
              </w:rPr>
              <w:t>Gene name</w:t>
            </w:r>
          </w:p>
        </w:tc>
      </w:tr>
      <w:tr w:rsidR="00A157F8" w:rsidRPr="00922437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922437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922437">
              <w:rPr>
                <w:rFonts w:eastAsia="Times New Roman" w:cs="Calibri"/>
                <w:color w:val="000000"/>
                <w:lang w:eastAsia="en-GB"/>
              </w:rPr>
              <w:t>17484100</w:t>
            </w:r>
          </w:p>
        </w:tc>
        <w:tc>
          <w:tcPr>
            <w:tcW w:w="1683" w:type="dxa"/>
            <w:noWrap/>
            <w:hideMark/>
          </w:tcPr>
          <w:p w:rsidR="00A157F8" w:rsidRPr="00922437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922437">
              <w:rPr>
                <w:rFonts w:eastAsia="Times New Roman" w:cs="Calibri"/>
                <w:color w:val="000000"/>
                <w:lang w:eastAsia="en-GB"/>
              </w:rPr>
              <w:t>zinc finger, RAN-binding domain containing 1</w:t>
            </w:r>
          </w:p>
        </w:tc>
        <w:tc>
          <w:tcPr>
            <w:tcW w:w="1683" w:type="dxa"/>
            <w:noWrap/>
            <w:hideMark/>
          </w:tcPr>
          <w:p w:rsidR="00A157F8" w:rsidRPr="00922437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922437">
              <w:rPr>
                <w:rFonts w:eastAsia="Times New Roman" w:cs="Calibri"/>
                <w:color w:val="000000"/>
                <w:lang w:eastAsia="en-GB"/>
              </w:rPr>
              <w:t>-1.85063</w:t>
            </w:r>
          </w:p>
        </w:tc>
        <w:tc>
          <w:tcPr>
            <w:tcW w:w="1683" w:type="dxa"/>
            <w:noWrap/>
            <w:hideMark/>
          </w:tcPr>
          <w:p w:rsidR="00A157F8" w:rsidRPr="00922437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922437">
              <w:rPr>
                <w:rFonts w:eastAsia="Times New Roman" w:cs="Calibri"/>
                <w:color w:val="000000"/>
                <w:lang w:eastAsia="en-GB"/>
              </w:rPr>
              <w:t>0.004772</w:t>
            </w:r>
          </w:p>
        </w:tc>
        <w:tc>
          <w:tcPr>
            <w:tcW w:w="1683" w:type="dxa"/>
            <w:noWrap/>
            <w:hideMark/>
          </w:tcPr>
          <w:p w:rsidR="00A157F8" w:rsidRPr="00922437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922437">
              <w:rPr>
                <w:rFonts w:eastAsia="Times New Roman" w:cs="Calibri"/>
                <w:color w:val="000000"/>
                <w:lang w:eastAsia="en-GB"/>
              </w:rPr>
              <w:t>Zranb1</w:t>
            </w:r>
          </w:p>
        </w:tc>
      </w:tr>
      <w:tr w:rsidR="00A157F8" w:rsidRPr="00922437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922437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922437">
              <w:rPr>
                <w:rFonts w:eastAsia="Times New Roman" w:cs="Calibri"/>
                <w:color w:val="000000"/>
                <w:lang w:eastAsia="en-GB"/>
              </w:rPr>
              <w:t>17391480</w:t>
            </w:r>
          </w:p>
        </w:tc>
        <w:tc>
          <w:tcPr>
            <w:tcW w:w="1683" w:type="dxa"/>
            <w:noWrap/>
            <w:hideMark/>
          </w:tcPr>
          <w:p w:rsidR="00A157F8" w:rsidRPr="00922437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922437">
              <w:rPr>
                <w:rFonts w:eastAsia="Times New Roman" w:cs="Calibri"/>
                <w:color w:val="000000"/>
                <w:lang w:eastAsia="en-GB"/>
              </w:rPr>
              <w:t>anaphase promoting complex subunit 1</w:t>
            </w:r>
          </w:p>
        </w:tc>
        <w:tc>
          <w:tcPr>
            <w:tcW w:w="1683" w:type="dxa"/>
            <w:noWrap/>
            <w:hideMark/>
          </w:tcPr>
          <w:p w:rsidR="00A157F8" w:rsidRPr="00922437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922437">
              <w:rPr>
                <w:rFonts w:eastAsia="Times New Roman" w:cs="Calibri"/>
                <w:color w:val="000000"/>
                <w:lang w:eastAsia="en-GB"/>
              </w:rPr>
              <w:t>-1.8085</w:t>
            </w:r>
          </w:p>
        </w:tc>
        <w:tc>
          <w:tcPr>
            <w:tcW w:w="1683" w:type="dxa"/>
            <w:noWrap/>
            <w:hideMark/>
          </w:tcPr>
          <w:p w:rsidR="00A157F8" w:rsidRPr="00922437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922437">
              <w:rPr>
                <w:rFonts w:eastAsia="Times New Roman" w:cs="Calibri"/>
                <w:color w:val="000000"/>
                <w:lang w:eastAsia="en-GB"/>
              </w:rPr>
              <w:t>0.009954</w:t>
            </w:r>
          </w:p>
        </w:tc>
        <w:tc>
          <w:tcPr>
            <w:tcW w:w="1683" w:type="dxa"/>
            <w:noWrap/>
            <w:hideMark/>
          </w:tcPr>
          <w:p w:rsidR="00A157F8" w:rsidRPr="00922437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922437">
              <w:rPr>
                <w:rFonts w:eastAsia="Times New Roman" w:cs="Calibri"/>
                <w:color w:val="000000"/>
                <w:lang w:eastAsia="en-GB"/>
              </w:rPr>
              <w:t>Anapc1</w:t>
            </w:r>
          </w:p>
        </w:tc>
      </w:tr>
      <w:tr w:rsidR="00A157F8" w:rsidRPr="00050024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050024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050024">
              <w:rPr>
                <w:rFonts w:eastAsia="Times New Roman" w:cs="Calibri"/>
                <w:color w:val="000000"/>
                <w:lang w:eastAsia="en-GB"/>
              </w:rPr>
              <w:t>17538773</w:t>
            </w:r>
          </w:p>
        </w:tc>
        <w:tc>
          <w:tcPr>
            <w:tcW w:w="1683" w:type="dxa"/>
            <w:noWrap/>
            <w:hideMark/>
          </w:tcPr>
          <w:p w:rsidR="00A157F8" w:rsidRPr="00050024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050024">
              <w:rPr>
                <w:rFonts w:eastAsia="Times New Roman" w:cs="Calibri"/>
                <w:color w:val="000000"/>
                <w:lang w:eastAsia="en-GB"/>
              </w:rPr>
              <w:t>HECT, UBA and WWE domain containing 1</w:t>
            </w:r>
          </w:p>
        </w:tc>
        <w:tc>
          <w:tcPr>
            <w:tcW w:w="1683" w:type="dxa"/>
            <w:noWrap/>
            <w:hideMark/>
          </w:tcPr>
          <w:p w:rsidR="00A157F8" w:rsidRPr="00050024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050024">
              <w:rPr>
                <w:rFonts w:eastAsia="Times New Roman" w:cs="Calibri"/>
                <w:color w:val="000000"/>
                <w:lang w:eastAsia="en-GB"/>
              </w:rPr>
              <w:t>-1.77086</w:t>
            </w:r>
          </w:p>
        </w:tc>
        <w:tc>
          <w:tcPr>
            <w:tcW w:w="1683" w:type="dxa"/>
            <w:noWrap/>
            <w:hideMark/>
          </w:tcPr>
          <w:p w:rsidR="00A157F8" w:rsidRPr="00050024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050024">
              <w:rPr>
                <w:rFonts w:eastAsia="Times New Roman" w:cs="Calibri"/>
                <w:color w:val="000000"/>
                <w:lang w:eastAsia="en-GB"/>
              </w:rPr>
              <w:t>0.008573</w:t>
            </w:r>
          </w:p>
        </w:tc>
        <w:tc>
          <w:tcPr>
            <w:tcW w:w="1683" w:type="dxa"/>
            <w:noWrap/>
            <w:hideMark/>
          </w:tcPr>
          <w:p w:rsidR="00A157F8" w:rsidRPr="00050024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050024">
              <w:rPr>
                <w:rFonts w:eastAsia="Times New Roman" w:cs="Calibri"/>
                <w:color w:val="000000"/>
                <w:lang w:eastAsia="en-GB"/>
              </w:rPr>
              <w:t>Huwe1</w:t>
            </w:r>
          </w:p>
        </w:tc>
      </w:tr>
      <w:tr w:rsidR="00A157F8" w:rsidRPr="00050024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050024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050024">
              <w:rPr>
                <w:rFonts w:eastAsia="Times New Roman" w:cs="Calibri"/>
                <w:color w:val="000000"/>
                <w:lang w:eastAsia="en-GB"/>
              </w:rPr>
              <w:t>17359961</w:t>
            </w:r>
          </w:p>
        </w:tc>
        <w:tc>
          <w:tcPr>
            <w:tcW w:w="1683" w:type="dxa"/>
            <w:noWrap/>
            <w:hideMark/>
          </w:tcPr>
          <w:p w:rsidR="00A157F8" w:rsidRPr="00050024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050024">
              <w:rPr>
                <w:rFonts w:eastAsia="Times New Roman" w:cs="Calibri"/>
                <w:color w:val="000000"/>
                <w:lang w:eastAsia="en-GB"/>
              </w:rPr>
              <w:t>golgi-specific brefeldin A-resistance factor 1</w:t>
            </w:r>
          </w:p>
        </w:tc>
        <w:tc>
          <w:tcPr>
            <w:tcW w:w="1683" w:type="dxa"/>
            <w:noWrap/>
            <w:hideMark/>
          </w:tcPr>
          <w:p w:rsidR="00A157F8" w:rsidRPr="00050024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050024">
              <w:rPr>
                <w:rFonts w:eastAsia="Times New Roman" w:cs="Calibri"/>
                <w:color w:val="000000"/>
                <w:lang w:eastAsia="en-GB"/>
              </w:rPr>
              <w:t>-1.68328</w:t>
            </w:r>
          </w:p>
        </w:tc>
        <w:tc>
          <w:tcPr>
            <w:tcW w:w="1683" w:type="dxa"/>
            <w:noWrap/>
            <w:hideMark/>
          </w:tcPr>
          <w:p w:rsidR="00A157F8" w:rsidRPr="00050024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050024">
              <w:rPr>
                <w:rFonts w:eastAsia="Times New Roman" w:cs="Calibri"/>
                <w:color w:val="000000"/>
                <w:lang w:eastAsia="en-GB"/>
              </w:rPr>
              <w:t>0.005597</w:t>
            </w:r>
          </w:p>
        </w:tc>
        <w:tc>
          <w:tcPr>
            <w:tcW w:w="1683" w:type="dxa"/>
            <w:noWrap/>
            <w:hideMark/>
          </w:tcPr>
          <w:p w:rsidR="00A157F8" w:rsidRPr="00050024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050024">
              <w:rPr>
                <w:rFonts w:eastAsia="Times New Roman" w:cs="Calibri"/>
                <w:color w:val="000000"/>
                <w:lang w:eastAsia="en-GB"/>
              </w:rPr>
              <w:t>Gbf1</w:t>
            </w:r>
          </w:p>
        </w:tc>
      </w:tr>
      <w:tr w:rsidR="00A157F8" w:rsidRPr="00050024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050024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050024">
              <w:rPr>
                <w:rFonts w:eastAsia="Times New Roman" w:cs="Calibri"/>
                <w:color w:val="000000"/>
                <w:lang w:eastAsia="en-GB"/>
              </w:rPr>
              <w:t>17221250</w:t>
            </w:r>
          </w:p>
        </w:tc>
        <w:tc>
          <w:tcPr>
            <w:tcW w:w="1683" w:type="dxa"/>
            <w:noWrap/>
            <w:hideMark/>
          </w:tcPr>
          <w:p w:rsidR="00A157F8" w:rsidRPr="00050024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050024">
              <w:rPr>
                <w:rFonts w:eastAsia="Times New Roman" w:cs="Calibri"/>
                <w:color w:val="000000"/>
                <w:lang w:eastAsia="en-GB"/>
              </w:rPr>
              <w:t xml:space="preserve">ADP-ribosylation factor guanine nucleotide-exchange factor </w:t>
            </w:r>
            <w:r w:rsidRPr="00050024">
              <w:rPr>
                <w:rFonts w:eastAsia="Times New Roman" w:cs="Calibri"/>
                <w:color w:val="000000"/>
                <w:lang w:eastAsia="en-GB"/>
              </w:rPr>
              <w:lastRenderedPageBreak/>
              <w:t>1(brefeldin A-inhibited)</w:t>
            </w:r>
          </w:p>
        </w:tc>
        <w:tc>
          <w:tcPr>
            <w:tcW w:w="1683" w:type="dxa"/>
            <w:noWrap/>
            <w:hideMark/>
          </w:tcPr>
          <w:p w:rsidR="00A157F8" w:rsidRPr="00050024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050024">
              <w:rPr>
                <w:rFonts w:eastAsia="Times New Roman" w:cs="Calibri"/>
                <w:color w:val="000000"/>
                <w:lang w:eastAsia="en-GB"/>
              </w:rPr>
              <w:lastRenderedPageBreak/>
              <w:t>1.642493</w:t>
            </w:r>
          </w:p>
        </w:tc>
        <w:tc>
          <w:tcPr>
            <w:tcW w:w="1683" w:type="dxa"/>
            <w:noWrap/>
            <w:hideMark/>
          </w:tcPr>
          <w:p w:rsidR="00A157F8" w:rsidRPr="00050024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050024">
              <w:rPr>
                <w:rFonts w:eastAsia="Times New Roman" w:cs="Calibri"/>
                <w:color w:val="000000"/>
                <w:lang w:eastAsia="en-GB"/>
              </w:rPr>
              <w:t>0.001327</w:t>
            </w:r>
          </w:p>
        </w:tc>
        <w:tc>
          <w:tcPr>
            <w:tcW w:w="1683" w:type="dxa"/>
            <w:noWrap/>
            <w:hideMark/>
          </w:tcPr>
          <w:p w:rsidR="00A157F8" w:rsidRPr="00050024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050024">
              <w:rPr>
                <w:rFonts w:eastAsia="Times New Roman" w:cs="Calibri"/>
                <w:color w:val="000000"/>
                <w:lang w:eastAsia="en-GB"/>
              </w:rPr>
              <w:t>Arfgef1</w:t>
            </w:r>
          </w:p>
        </w:tc>
      </w:tr>
      <w:tr w:rsidR="00A157F8" w:rsidRPr="00050024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050024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050024">
              <w:rPr>
                <w:rFonts w:eastAsia="Times New Roman" w:cs="Calibri"/>
                <w:color w:val="000000"/>
                <w:lang w:eastAsia="en-GB"/>
              </w:rPr>
              <w:lastRenderedPageBreak/>
              <w:t>17300371</w:t>
            </w:r>
          </w:p>
        </w:tc>
        <w:tc>
          <w:tcPr>
            <w:tcW w:w="1683" w:type="dxa"/>
            <w:noWrap/>
            <w:hideMark/>
          </w:tcPr>
          <w:p w:rsidR="00A157F8" w:rsidRPr="00050024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050024">
              <w:rPr>
                <w:rFonts w:eastAsia="Times New Roman" w:cs="Calibri"/>
                <w:color w:val="000000"/>
                <w:lang w:eastAsia="en-GB"/>
              </w:rPr>
              <w:t>predicted gene 20521</w:t>
            </w:r>
          </w:p>
        </w:tc>
        <w:tc>
          <w:tcPr>
            <w:tcW w:w="1683" w:type="dxa"/>
            <w:noWrap/>
            <w:hideMark/>
          </w:tcPr>
          <w:p w:rsidR="00A157F8" w:rsidRPr="00050024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050024">
              <w:rPr>
                <w:rFonts w:eastAsia="Times New Roman" w:cs="Calibri"/>
                <w:color w:val="000000"/>
                <w:lang w:eastAsia="en-GB"/>
              </w:rPr>
              <w:t>-1.61363</w:t>
            </w:r>
          </w:p>
        </w:tc>
        <w:tc>
          <w:tcPr>
            <w:tcW w:w="1683" w:type="dxa"/>
            <w:noWrap/>
            <w:hideMark/>
          </w:tcPr>
          <w:p w:rsidR="00A157F8" w:rsidRPr="00050024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050024">
              <w:rPr>
                <w:rFonts w:eastAsia="Times New Roman" w:cs="Calibri"/>
                <w:color w:val="000000"/>
                <w:lang w:eastAsia="en-GB"/>
              </w:rPr>
              <w:t>0.018606</w:t>
            </w:r>
          </w:p>
        </w:tc>
        <w:tc>
          <w:tcPr>
            <w:tcW w:w="1683" w:type="dxa"/>
            <w:noWrap/>
            <w:hideMark/>
          </w:tcPr>
          <w:p w:rsidR="00A157F8" w:rsidRPr="00050024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050024">
              <w:rPr>
                <w:rFonts w:eastAsia="Times New Roman" w:cs="Calibri"/>
                <w:color w:val="000000"/>
                <w:lang w:eastAsia="en-GB"/>
              </w:rPr>
              <w:t>Gm20521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17300185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olfactory receptor 204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-1.58533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0.019681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Olfr204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17221233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ADP-ribosylation factor guanine nucleotide-exchange factor 1(brefeldin A-inhibited)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1.554567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0.025784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Arfgef1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17378318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itchy, E3 ubiquitin protein ligase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-1.48962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0.006535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Itch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17206483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small nucleolar RNA, H/ACA box 28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-1.48322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0.016768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Snora28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17359926</w:t>
            </w:r>
          </w:p>
          <w:p w:rsidR="00A157F8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</w:p>
          <w:p w:rsidR="00A157F8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</w:p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golgi-specific brefeldin A-resistance factor 1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-1.47904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0.000368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Gbf1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17324680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discs, large homolog 1 (Drosophila)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-1.44446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0.00436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Dlg1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17202517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olfactory receptor 1313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-1.42432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0.017611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Olfr1313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17206727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ankyrin repeat domain 17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-1.35285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0.008902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Ankrd17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17290927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zinc finger with KRAB and SCAN domains 3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-1.33248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0.005763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Zkscan3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17359948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golgi-specific brefeldin A-resistance factor 1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-1.32392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0.02368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Gbf1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17308472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exportin 7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1.301569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0.003501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Xpo7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17219478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coatomer protein complex subunit alpha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-1.28481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0.014817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Copa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17200103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coatomer protein complex, subunit gamma 1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1.269288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0.008141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Copg1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17449547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ankyrin repeat domain 17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-1.23804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0.032238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Ankrd17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17403846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vomeronasal 1 receptor 12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-1.22049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0.018813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Vmn1r12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17458948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olfactory receptor 1504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-1.21671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0.005725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Olfr1504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17202979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olfactory receptor 1135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1.194902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0.009684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Olfr1135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17221253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ADP-ribosylation factor guanine nucleotide-exchange factor 1(brefeldin A-inhibited)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-1.18669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0.013091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Arfgef1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lastRenderedPageBreak/>
              <w:t>17341696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3-phosphoinositide dependent protein kinase 1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-1.17206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0.000454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Pdpk1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17348452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RIO kinase 3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-1.1686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0.007253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Riok3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17484102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zinc finger, RAN-binding domain containing 1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-1.16181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0.028292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Zranb1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17202919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calnexin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-1.1541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0.006838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Canx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17220754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angel homolog 2 (Drosophila)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-1.13319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0.030408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Angel2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17391446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anaphase promoting complex subunit 1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-1.13013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0.013971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Anapc1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17308463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exportin 7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-1.11946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0.040084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Xpo7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17207455</w:t>
            </w:r>
          </w:p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apolipoprotein L 7c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1.111031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0.030042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Apol7c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17219451</w:t>
            </w:r>
          </w:p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coatomer protein complex subunit alpha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-1.05955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0.042363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Copa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17359958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golgi-specific brefeldin A-resistance factor 1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-1.02617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0.014976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Gbf1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17341704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3-phosphoinositide dependent protein kinase 1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1.02562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0.003371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Pdpk1</w:t>
            </w:r>
          </w:p>
        </w:tc>
      </w:tr>
      <w:tr w:rsidR="00A157F8" w:rsidRPr="00EC043B" w:rsidTr="00BE3160">
        <w:trPr>
          <w:trHeight w:val="300"/>
        </w:trPr>
        <w:tc>
          <w:tcPr>
            <w:tcW w:w="1682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17238667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C-type lectin domain family 4, member e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-1.00679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0.006966</w:t>
            </w:r>
          </w:p>
        </w:tc>
        <w:tc>
          <w:tcPr>
            <w:tcW w:w="1683" w:type="dxa"/>
            <w:noWrap/>
            <w:hideMark/>
          </w:tcPr>
          <w:p w:rsidR="00A157F8" w:rsidRPr="00EC043B" w:rsidRDefault="00A157F8" w:rsidP="00BE3160">
            <w:pPr>
              <w:rPr>
                <w:rFonts w:eastAsia="Times New Roman" w:cs="Calibri"/>
                <w:color w:val="000000"/>
                <w:lang w:eastAsia="en-GB"/>
              </w:rPr>
            </w:pPr>
            <w:r w:rsidRPr="00EC043B">
              <w:rPr>
                <w:rFonts w:eastAsia="Times New Roman" w:cs="Calibri"/>
                <w:color w:val="000000"/>
                <w:lang w:eastAsia="en-GB"/>
              </w:rPr>
              <w:t>Clec4e</w:t>
            </w:r>
          </w:p>
        </w:tc>
      </w:tr>
    </w:tbl>
    <w:p w:rsidR="00A157F8" w:rsidRPr="008661AA" w:rsidRDefault="00A157F8" w:rsidP="00394196">
      <w:pPr>
        <w:spacing w:after="0"/>
        <w:jc w:val="both"/>
      </w:pPr>
    </w:p>
    <w:p w:rsidR="004F128D" w:rsidRPr="008528E4" w:rsidRDefault="00A157F8" w:rsidP="008528E4">
      <w:pPr>
        <w:pStyle w:val="Caption"/>
        <w:spacing w:line="360" w:lineRule="auto"/>
        <w:rPr>
          <w:b w:val="0"/>
          <w:sz w:val="22"/>
          <w:szCs w:val="22"/>
        </w:rPr>
      </w:pPr>
      <w:r w:rsidRPr="00A157F8">
        <w:rPr>
          <w:sz w:val="22"/>
          <w:szCs w:val="22"/>
        </w:rPr>
        <w:t>Supplementary Table</w:t>
      </w:r>
      <w:r w:rsidR="002A4B83">
        <w:rPr>
          <w:sz w:val="22"/>
          <w:szCs w:val="22"/>
        </w:rPr>
        <w:t xml:space="preserve"> 3</w:t>
      </w:r>
      <w:r w:rsidRPr="00A157F8">
        <w:rPr>
          <w:sz w:val="22"/>
          <w:szCs w:val="22"/>
        </w:rPr>
        <w:t>.</w:t>
      </w:r>
      <w:r w:rsidRPr="00A157F8">
        <w:rPr>
          <w:color w:val="FFFFFF" w:themeColor="background1"/>
          <w:sz w:val="22"/>
          <w:szCs w:val="22"/>
        </w:rPr>
        <w:t xml:space="preserve"> </w:t>
      </w:r>
      <w:bookmarkStart w:id="2" w:name="_Toc468072804"/>
      <w:r w:rsidRPr="00A157F8">
        <w:rPr>
          <w:b w:val="0"/>
          <w:sz w:val="22"/>
          <w:szCs w:val="22"/>
        </w:rPr>
        <w:t xml:space="preserve">Differentially expressed genes (unpaired t test &lt;0.05) in plaque macrophages in </w:t>
      </w:r>
      <w:r w:rsidRPr="00A157F8">
        <w:rPr>
          <w:b w:val="0"/>
          <w:i/>
          <w:sz w:val="22"/>
          <w:szCs w:val="22"/>
        </w:rPr>
        <w:t xml:space="preserve">S. pneumoniae </w:t>
      </w:r>
      <w:r w:rsidRPr="00A157F8">
        <w:rPr>
          <w:b w:val="0"/>
          <w:sz w:val="22"/>
          <w:szCs w:val="22"/>
        </w:rPr>
        <w:t>infected mice as compared to mock infected mice.</w:t>
      </w:r>
      <w:bookmarkStart w:id="3" w:name="_GoBack"/>
      <w:bookmarkEnd w:id="2"/>
      <w:bookmarkEnd w:id="3"/>
    </w:p>
    <w:p w:rsidR="00A157F8" w:rsidRDefault="00A157F8" w:rsidP="00A157F8">
      <w:pPr>
        <w:pStyle w:val="Caption"/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0"/>
        <w:gridCol w:w="1462"/>
        <w:gridCol w:w="1821"/>
        <w:gridCol w:w="1746"/>
        <w:gridCol w:w="1685"/>
      </w:tblGrid>
      <w:tr w:rsidR="00A157F8" w:rsidTr="00BE3160">
        <w:tc>
          <w:tcPr>
            <w:tcW w:w="1700" w:type="dxa"/>
          </w:tcPr>
          <w:p w:rsidR="00A157F8" w:rsidRDefault="00A157F8" w:rsidP="00BE3160">
            <w:pPr>
              <w:spacing w:line="480" w:lineRule="auto"/>
            </w:pPr>
            <w:r>
              <w:t>KEGG category</w:t>
            </w:r>
          </w:p>
        </w:tc>
        <w:tc>
          <w:tcPr>
            <w:tcW w:w="1462" w:type="dxa"/>
          </w:tcPr>
          <w:p w:rsidR="00A157F8" w:rsidRDefault="00A157F8" w:rsidP="00BE3160">
            <w:r>
              <w:t>KEGG subcategory</w:t>
            </w:r>
          </w:p>
        </w:tc>
        <w:tc>
          <w:tcPr>
            <w:tcW w:w="1821" w:type="dxa"/>
          </w:tcPr>
          <w:p w:rsidR="00A157F8" w:rsidRDefault="00A157F8" w:rsidP="00BE3160">
            <w:pPr>
              <w:spacing w:line="480" w:lineRule="auto"/>
            </w:pPr>
            <w:r>
              <w:t>KEGG pathway</w:t>
            </w:r>
          </w:p>
        </w:tc>
        <w:tc>
          <w:tcPr>
            <w:tcW w:w="1746" w:type="dxa"/>
          </w:tcPr>
          <w:p w:rsidR="00A157F8" w:rsidRDefault="00A157F8" w:rsidP="00BE3160">
            <w:pPr>
              <w:spacing w:line="480" w:lineRule="auto"/>
            </w:pPr>
            <w:r>
              <w:t>Adjusted p value</w:t>
            </w:r>
          </w:p>
        </w:tc>
        <w:tc>
          <w:tcPr>
            <w:tcW w:w="1685" w:type="dxa"/>
          </w:tcPr>
          <w:p w:rsidR="00A157F8" w:rsidRDefault="00A157F8" w:rsidP="00BE3160">
            <w:pPr>
              <w:spacing w:line="480" w:lineRule="auto"/>
            </w:pPr>
            <w:r>
              <w:t>Genes</w:t>
            </w:r>
          </w:p>
        </w:tc>
      </w:tr>
      <w:tr w:rsidR="00A157F8" w:rsidTr="00BE3160">
        <w:tc>
          <w:tcPr>
            <w:tcW w:w="1700" w:type="dxa"/>
          </w:tcPr>
          <w:p w:rsidR="00A157F8" w:rsidRDefault="00A157F8" w:rsidP="00BE3160">
            <w:r>
              <w:t>Genetic Information processing</w:t>
            </w:r>
          </w:p>
        </w:tc>
        <w:tc>
          <w:tcPr>
            <w:tcW w:w="1462" w:type="dxa"/>
          </w:tcPr>
          <w:p w:rsidR="00A157F8" w:rsidRDefault="00A157F8" w:rsidP="00BE3160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Folding, sorting and degradation</w:t>
            </w:r>
          </w:p>
        </w:tc>
        <w:tc>
          <w:tcPr>
            <w:tcW w:w="1821" w:type="dxa"/>
          </w:tcPr>
          <w:p w:rsidR="00A157F8" w:rsidRPr="00333B57" w:rsidRDefault="00A157F8" w:rsidP="00BE3160">
            <w:pPr>
              <w:rPr>
                <w:rFonts w:cs="Calibri"/>
                <w:color w:val="000000"/>
              </w:rPr>
            </w:pPr>
            <w:r w:rsidRPr="00333B57">
              <w:rPr>
                <w:rFonts w:cs="Calibri"/>
                <w:color w:val="000000"/>
              </w:rPr>
              <w:t>Ubiquitin mediated proteolysis</w:t>
            </w:r>
          </w:p>
        </w:tc>
        <w:tc>
          <w:tcPr>
            <w:tcW w:w="1746" w:type="dxa"/>
          </w:tcPr>
          <w:p w:rsidR="00A157F8" w:rsidRDefault="00A157F8" w:rsidP="00BE3160">
            <w:pPr>
              <w:spacing w:line="720" w:lineRule="auto"/>
              <w:rPr>
                <w:rFonts w:cs="Calibri"/>
                <w:color w:val="000000"/>
                <w:sz w:val="22"/>
                <w:szCs w:val="22"/>
              </w:rPr>
            </w:pPr>
            <w:r>
              <w:rPr>
                <w:rFonts w:cs="Calibri"/>
                <w:color w:val="000000"/>
                <w:sz w:val="22"/>
                <w:szCs w:val="22"/>
              </w:rPr>
              <w:t>0.011337</w:t>
            </w:r>
          </w:p>
        </w:tc>
        <w:tc>
          <w:tcPr>
            <w:tcW w:w="1685" w:type="dxa"/>
          </w:tcPr>
          <w:p w:rsidR="00A157F8" w:rsidRDefault="00A157F8" w:rsidP="00BE3160">
            <w:pPr>
              <w:spacing w:line="276" w:lineRule="auto"/>
            </w:pPr>
            <w:r>
              <w:t>Anapc1, Huwe1, Itch</w:t>
            </w:r>
          </w:p>
        </w:tc>
      </w:tr>
      <w:tr w:rsidR="00A157F8" w:rsidTr="00BE3160">
        <w:tc>
          <w:tcPr>
            <w:tcW w:w="1700" w:type="dxa"/>
          </w:tcPr>
          <w:p w:rsidR="00A157F8" w:rsidRDefault="00A157F8" w:rsidP="00BE3160">
            <w:pPr>
              <w:spacing w:line="480" w:lineRule="auto"/>
            </w:pPr>
            <w:r>
              <w:t>Cellular processes</w:t>
            </w:r>
          </w:p>
        </w:tc>
        <w:tc>
          <w:tcPr>
            <w:tcW w:w="1462" w:type="dxa"/>
          </w:tcPr>
          <w:p w:rsidR="00A157F8" w:rsidRDefault="00A157F8" w:rsidP="00BE3160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Transport and catabolism</w:t>
            </w:r>
          </w:p>
        </w:tc>
        <w:tc>
          <w:tcPr>
            <w:tcW w:w="1821" w:type="dxa"/>
          </w:tcPr>
          <w:p w:rsidR="00A157F8" w:rsidRPr="00B2226C" w:rsidRDefault="00A157F8" w:rsidP="00BE3160">
            <w:pPr>
              <w:spacing w:line="276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Endocytosis</w:t>
            </w:r>
          </w:p>
        </w:tc>
        <w:tc>
          <w:tcPr>
            <w:tcW w:w="1746" w:type="dxa"/>
          </w:tcPr>
          <w:p w:rsidR="00A157F8" w:rsidRDefault="00A157F8" w:rsidP="00BE3160">
            <w:pPr>
              <w:spacing w:line="720" w:lineRule="auto"/>
              <w:rPr>
                <w:rFonts w:cs="Calibri"/>
                <w:color w:val="000000"/>
                <w:sz w:val="22"/>
                <w:szCs w:val="22"/>
              </w:rPr>
            </w:pPr>
            <w:r>
              <w:rPr>
                <w:rFonts w:cs="Calibri"/>
                <w:color w:val="000000"/>
                <w:sz w:val="22"/>
                <w:szCs w:val="22"/>
              </w:rPr>
              <w:t>0.030526</w:t>
            </w:r>
          </w:p>
        </w:tc>
        <w:tc>
          <w:tcPr>
            <w:tcW w:w="1685" w:type="dxa"/>
          </w:tcPr>
          <w:p w:rsidR="00A157F8" w:rsidRDefault="00A157F8" w:rsidP="00BE3160">
            <w:pPr>
              <w:spacing w:line="276" w:lineRule="auto"/>
            </w:pPr>
            <w:r>
              <w:t>Anapc1, Huwe1, Itch</w:t>
            </w:r>
          </w:p>
        </w:tc>
      </w:tr>
      <w:tr w:rsidR="00A157F8" w:rsidTr="00BE3160">
        <w:trPr>
          <w:trHeight w:val="77"/>
        </w:trPr>
        <w:tc>
          <w:tcPr>
            <w:tcW w:w="1700" w:type="dxa"/>
          </w:tcPr>
          <w:p w:rsidR="00A157F8" w:rsidRDefault="00A157F8" w:rsidP="00BE3160">
            <w:pPr>
              <w:spacing w:line="480" w:lineRule="auto"/>
            </w:pPr>
            <w:r>
              <w:t>Human diseases</w:t>
            </w:r>
          </w:p>
        </w:tc>
        <w:tc>
          <w:tcPr>
            <w:tcW w:w="1462" w:type="dxa"/>
          </w:tcPr>
          <w:p w:rsidR="00A157F8" w:rsidRDefault="00A157F8" w:rsidP="00BE3160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Infectious diseases:viral</w:t>
            </w:r>
          </w:p>
        </w:tc>
        <w:tc>
          <w:tcPr>
            <w:tcW w:w="1821" w:type="dxa"/>
          </w:tcPr>
          <w:p w:rsidR="00A157F8" w:rsidRPr="00B2226C" w:rsidRDefault="00A157F8" w:rsidP="00BE3160">
            <w:pPr>
              <w:rPr>
                <w:rFonts w:cs="Calibri"/>
                <w:color w:val="000000"/>
              </w:rPr>
            </w:pPr>
            <w:r w:rsidRPr="00B2226C">
              <w:rPr>
                <w:rFonts w:cs="Calibri"/>
                <w:color w:val="000000"/>
              </w:rPr>
              <w:t>HTLV-I infection</w:t>
            </w:r>
          </w:p>
        </w:tc>
        <w:tc>
          <w:tcPr>
            <w:tcW w:w="1746" w:type="dxa"/>
          </w:tcPr>
          <w:p w:rsidR="00A157F8" w:rsidRDefault="00A157F8" w:rsidP="00BE3160">
            <w:pPr>
              <w:spacing w:line="720" w:lineRule="auto"/>
              <w:rPr>
                <w:rFonts w:cs="Calibri"/>
                <w:color w:val="000000"/>
                <w:sz w:val="22"/>
                <w:szCs w:val="22"/>
              </w:rPr>
            </w:pPr>
            <w:r>
              <w:rPr>
                <w:rFonts w:cs="Calibri"/>
                <w:color w:val="000000"/>
                <w:sz w:val="22"/>
                <w:szCs w:val="22"/>
              </w:rPr>
              <w:t>0.030526</w:t>
            </w:r>
          </w:p>
        </w:tc>
        <w:tc>
          <w:tcPr>
            <w:tcW w:w="1685" w:type="dxa"/>
          </w:tcPr>
          <w:p w:rsidR="00A157F8" w:rsidRDefault="00A157F8" w:rsidP="00BE3160">
            <w:pPr>
              <w:spacing w:line="276" w:lineRule="auto"/>
            </w:pPr>
            <w:r>
              <w:t>Canx, Dlg1, Anapc1</w:t>
            </w:r>
          </w:p>
        </w:tc>
      </w:tr>
    </w:tbl>
    <w:p w:rsidR="00394196" w:rsidRDefault="00394196"/>
    <w:p w:rsidR="00A157F8" w:rsidRDefault="002A4B83">
      <w:r>
        <w:rPr>
          <w:b/>
        </w:rPr>
        <w:t>Supplementary Table 4</w:t>
      </w:r>
      <w:r w:rsidR="00A157F8">
        <w:rPr>
          <w:b/>
        </w:rPr>
        <w:t xml:space="preserve">. </w:t>
      </w:r>
      <w:r w:rsidR="00A157F8" w:rsidRPr="002B65EC">
        <w:t>KEGG pathways, and their categories, altered by pneumococcal infection in plaque macrophages</w:t>
      </w:r>
      <w:r w:rsidR="00A157F8">
        <w:t>.</w:t>
      </w:r>
    </w:p>
    <w:p w:rsidR="00743449" w:rsidRPr="00A157F8" w:rsidRDefault="00743449"/>
    <w:sectPr w:rsidR="00743449" w:rsidRPr="00A157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A73"/>
    <w:rsid w:val="00094777"/>
    <w:rsid w:val="00186CCA"/>
    <w:rsid w:val="001D08A4"/>
    <w:rsid w:val="002A4B83"/>
    <w:rsid w:val="00355369"/>
    <w:rsid w:val="00394196"/>
    <w:rsid w:val="004F128D"/>
    <w:rsid w:val="005F5A73"/>
    <w:rsid w:val="00681AAC"/>
    <w:rsid w:val="006B42F9"/>
    <w:rsid w:val="006F3630"/>
    <w:rsid w:val="00731219"/>
    <w:rsid w:val="00743449"/>
    <w:rsid w:val="008528E4"/>
    <w:rsid w:val="00895945"/>
    <w:rsid w:val="00930454"/>
    <w:rsid w:val="00A157F8"/>
    <w:rsid w:val="00B82769"/>
    <w:rsid w:val="00C65ADD"/>
    <w:rsid w:val="00D06FAE"/>
    <w:rsid w:val="00D241A3"/>
    <w:rsid w:val="00D459B2"/>
    <w:rsid w:val="00D7587C"/>
    <w:rsid w:val="00DA2588"/>
    <w:rsid w:val="00E54652"/>
    <w:rsid w:val="00EB409C"/>
    <w:rsid w:val="00FE3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4196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7587C"/>
    <w:pPr>
      <w:spacing w:after="0" w:line="360" w:lineRule="auto"/>
      <w:outlineLvl w:val="2"/>
    </w:pPr>
    <w:rPr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94196"/>
    <w:pPr>
      <w:spacing w:line="240" w:lineRule="auto"/>
    </w:pPr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A157F8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D7587C"/>
    <w:rPr>
      <w:b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4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47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4196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7587C"/>
    <w:pPr>
      <w:spacing w:after="0" w:line="360" w:lineRule="auto"/>
      <w:outlineLvl w:val="2"/>
    </w:pPr>
    <w:rPr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94196"/>
    <w:pPr>
      <w:spacing w:line="240" w:lineRule="auto"/>
    </w:pPr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A157F8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D7587C"/>
    <w:rPr>
      <w:b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4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47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1172</Words>
  <Characters>6682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rohitbazaz@hotmail.com</dc:creator>
  <cp:lastModifiedBy>rohitbazaz@hotmail.com</cp:lastModifiedBy>
  <cp:revision>3</cp:revision>
  <dcterms:created xsi:type="dcterms:W3CDTF">2022-02-06T17:58:00Z</dcterms:created>
  <dcterms:modified xsi:type="dcterms:W3CDTF">2022-02-07T23:34:00Z</dcterms:modified>
</cp:coreProperties>
</file>