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3"/>
        <w:gridCol w:w="584"/>
        <w:gridCol w:w="509"/>
        <w:gridCol w:w="2266"/>
        <w:gridCol w:w="711"/>
        <w:gridCol w:w="1276"/>
        <w:gridCol w:w="709"/>
        <w:gridCol w:w="567"/>
        <w:gridCol w:w="1134"/>
        <w:gridCol w:w="1842"/>
        <w:gridCol w:w="709"/>
        <w:gridCol w:w="851"/>
        <w:gridCol w:w="1559"/>
        <w:gridCol w:w="1984"/>
      </w:tblGrid>
      <w:tr w:rsidR="00A15687" w:rsidRPr="00172FA8" w14:paraId="23E0BEF2" w14:textId="77777777" w:rsidTr="00124BEF">
        <w:trPr>
          <w:trHeight w:val="125"/>
        </w:trPr>
        <w:tc>
          <w:tcPr>
            <w:tcW w:w="603" w:type="dxa"/>
            <w:shd w:val="clear" w:color="auto" w:fill="BDD6EE" w:themeFill="accent5" w:themeFillTint="66"/>
            <w:vAlign w:val="bottom"/>
          </w:tcPr>
          <w:p w14:paraId="30252300" w14:textId="28A2483D" w:rsidR="00A15687" w:rsidRPr="00172FA8" w:rsidRDefault="00A15687" w:rsidP="00A21C90">
            <w:pPr>
              <w:rPr>
                <w:rFonts w:eastAsia="Times New Roman" w:cstheme="minorHAnsi"/>
                <w:b/>
                <w:bCs/>
                <w:color w:val="000000"/>
                <w:sz w:val="10"/>
                <w:szCs w:val="10"/>
                <w:lang w:val="en-GB" w:eastAsia="de-DE"/>
              </w:rPr>
            </w:pPr>
            <w:r w:rsidRPr="00172FA8">
              <w:rPr>
                <w:rFonts w:eastAsia="Times New Roman" w:cstheme="minorHAnsi"/>
                <w:b/>
                <w:bCs/>
                <w:color w:val="000000"/>
                <w:sz w:val="10"/>
                <w:szCs w:val="10"/>
                <w:lang w:val="en-GB" w:eastAsia="de-DE"/>
              </w:rPr>
              <w:t>Author/ Year</w:t>
            </w:r>
          </w:p>
        </w:tc>
        <w:tc>
          <w:tcPr>
            <w:tcW w:w="584" w:type="dxa"/>
            <w:shd w:val="clear" w:color="auto" w:fill="BDD6EE" w:themeFill="accent5" w:themeFillTint="66"/>
            <w:vAlign w:val="bottom"/>
          </w:tcPr>
          <w:p w14:paraId="473F539B" w14:textId="0B86D386" w:rsidR="00A15687" w:rsidRPr="00172FA8" w:rsidRDefault="00A15687" w:rsidP="00A21C90">
            <w:pPr>
              <w:rPr>
                <w:rFonts w:eastAsia="Times New Roman" w:cstheme="minorHAnsi"/>
                <w:b/>
                <w:bCs/>
                <w:color w:val="000000"/>
                <w:sz w:val="10"/>
                <w:szCs w:val="10"/>
                <w:lang w:val="en-GB" w:eastAsia="de-DE"/>
              </w:rPr>
            </w:pPr>
            <w:r w:rsidRPr="00172FA8">
              <w:rPr>
                <w:rFonts w:eastAsia="Times New Roman" w:cstheme="minorHAnsi"/>
                <w:b/>
                <w:bCs/>
                <w:color w:val="000000"/>
                <w:sz w:val="10"/>
                <w:szCs w:val="10"/>
                <w:lang w:val="en-GB" w:eastAsia="de-DE"/>
              </w:rPr>
              <w:t>Technology</w:t>
            </w:r>
          </w:p>
        </w:tc>
        <w:tc>
          <w:tcPr>
            <w:tcW w:w="509" w:type="dxa"/>
            <w:shd w:val="clear" w:color="auto" w:fill="BDD6EE" w:themeFill="accent5" w:themeFillTint="66"/>
            <w:vAlign w:val="bottom"/>
          </w:tcPr>
          <w:p w14:paraId="637746D6" w14:textId="3AF1EC39" w:rsidR="00A15687" w:rsidRPr="00172FA8" w:rsidRDefault="00A15687" w:rsidP="00A21C90">
            <w:pPr>
              <w:rPr>
                <w:rFonts w:eastAsia="Times New Roman" w:cstheme="minorHAnsi"/>
                <w:b/>
                <w:bCs/>
                <w:color w:val="000000"/>
                <w:sz w:val="10"/>
                <w:szCs w:val="10"/>
                <w:lang w:val="en-GB" w:eastAsia="de-DE"/>
              </w:rPr>
            </w:pPr>
            <w:r>
              <w:rPr>
                <w:rFonts w:eastAsia="Times New Roman" w:cstheme="minorHAnsi"/>
                <w:b/>
                <w:bCs/>
                <w:color w:val="000000"/>
                <w:sz w:val="10"/>
                <w:szCs w:val="10"/>
                <w:lang w:val="en-GB" w:eastAsia="de-DE"/>
              </w:rPr>
              <w:t>Text type</w:t>
            </w:r>
          </w:p>
        </w:tc>
        <w:tc>
          <w:tcPr>
            <w:tcW w:w="2266" w:type="dxa"/>
            <w:shd w:val="clear" w:color="auto" w:fill="BDD6EE" w:themeFill="accent5" w:themeFillTint="66"/>
            <w:vAlign w:val="bottom"/>
          </w:tcPr>
          <w:p w14:paraId="7889F30C" w14:textId="3D69C7DE" w:rsidR="00A15687" w:rsidRPr="00172FA8" w:rsidRDefault="00A15687" w:rsidP="00A21C90">
            <w:pPr>
              <w:rPr>
                <w:rFonts w:eastAsia="Times New Roman" w:cstheme="minorHAnsi"/>
                <w:b/>
                <w:bCs/>
                <w:color w:val="000000"/>
                <w:sz w:val="10"/>
                <w:szCs w:val="10"/>
                <w:lang w:val="en-GB" w:eastAsia="de-DE"/>
              </w:rPr>
            </w:pPr>
            <w:r w:rsidRPr="00172FA8">
              <w:rPr>
                <w:rFonts w:eastAsia="Times New Roman" w:cstheme="minorHAnsi"/>
                <w:b/>
                <w:bCs/>
                <w:color w:val="000000"/>
                <w:sz w:val="10"/>
                <w:szCs w:val="10"/>
                <w:lang w:val="en-GB" w:eastAsia="de-DE"/>
              </w:rPr>
              <w:t>Special challenges</w:t>
            </w:r>
          </w:p>
        </w:tc>
        <w:tc>
          <w:tcPr>
            <w:tcW w:w="711" w:type="dxa"/>
            <w:shd w:val="clear" w:color="auto" w:fill="BDD6EE" w:themeFill="accent5" w:themeFillTint="66"/>
            <w:vAlign w:val="bottom"/>
          </w:tcPr>
          <w:p w14:paraId="5F3E0027" w14:textId="2E99021A" w:rsidR="00A15687" w:rsidRPr="00172FA8" w:rsidRDefault="00A15687" w:rsidP="00A21C90">
            <w:pPr>
              <w:rPr>
                <w:rFonts w:eastAsia="Times New Roman" w:cstheme="minorHAnsi"/>
                <w:b/>
                <w:bCs/>
                <w:color w:val="000000"/>
                <w:sz w:val="10"/>
                <w:szCs w:val="10"/>
                <w:lang w:val="en-GB" w:eastAsia="de-DE"/>
              </w:rPr>
            </w:pPr>
            <w:r w:rsidRPr="00172FA8">
              <w:rPr>
                <w:rFonts w:eastAsia="Times New Roman" w:cstheme="minorHAnsi"/>
                <w:b/>
                <w:bCs/>
                <w:color w:val="000000"/>
                <w:sz w:val="10"/>
                <w:szCs w:val="10"/>
                <w:lang w:val="en-GB" w:eastAsia="de-DE"/>
              </w:rPr>
              <w:t>General methods applicable</w:t>
            </w:r>
          </w:p>
        </w:tc>
        <w:tc>
          <w:tcPr>
            <w:tcW w:w="1276" w:type="dxa"/>
            <w:shd w:val="clear" w:color="auto" w:fill="BDD6EE" w:themeFill="accent5" w:themeFillTint="66"/>
            <w:vAlign w:val="bottom"/>
          </w:tcPr>
          <w:p w14:paraId="6898CE7A" w14:textId="4C908C66" w:rsidR="00A15687" w:rsidRPr="00172FA8" w:rsidRDefault="00A15687" w:rsidP="00A21C90">
            <w:pPr>
              <w:rPr>
                <w:rFonts w:eastAsia="Times New Roman" w:cstheme="minorHAnsi"/>
                <w:b/>
                <w:bCs/>
                <w:color w:val="000000"/>
                <w:sz w:val="10"/>
                <w:szCs w:val="10"/>
                <w:lang w:val="en-GB" w:eastAsia="de-DE"/>
              </w:rPr>
            </w:pPr>
            <w:r w:rsidRPr="00172FA8">
              <w:rPr>
                <w:rFonts w:eastAsia="Times New Roman" w:cstheme="minorHAnsi"/>
                <w:b/>
                <w:bCs/>
                <w:color w:val="000000"/>
                <w:sz w:val="10"/>
                <w:szCs w:val="10"/>
                <w:lang w:val="en-GB" w:eastAsia="de-DE"/>
              </w:rPr>
              <w:t>Recommended methods</w:t>
            </w:r>
          </w:p>
        </w:tc>
        <w:tc>
          <w:tcPr>
            <w:tcW w:w="709" w:type="dxa"/>
            <w:shd w:val="clear" w:color="auto" w:fill="BDD6EE" w:themeFill="accent5" w:themeFillTint="66"/>
            <w:vAlign w:val="bottom"/>
          </w:tcPr>
          <w:p w14:paraId="49361741" w14:textId="59F5F440" w:rsidR="00A15687" w:rsidRPr="00172FA8" w:rsidRDefault="00A15687" w:rsidP="00A21C90">
            <w:pPr>
              <w:rPr>
                <w:rFonts w:eastAsia="Times New Roman" w:cstheme="minorHAnsi"/>
                <w:b/>
                <w:bCs/>
                <w:color w:val="000000"/>
                <w:sz w:val="10"/>
                <w:szCs w:val="10"/>
                <w:lang w:val="en-GB" w:eastAsia="de-DE"/>
              </w:rPr>
            </w:pPr>
            <w:r w:rsidRPr="00172FA8">
              <w:rPr>
                <w:rFonts w:eastAsia="Times New Roman" w:cstheme="minorHAnsi"/>
                <w:b/>
                <w:bCs/>
                <w:color w:val="000000"/>
                <w:sz w:val="10"/>
                <w:szCs w:val="10"/>
                <w:lang w:val="en-GB" w:eastAsia="de-DE"/>
              </w:rPr>
              <w:t>RCTs</w:t>
            </w:r>
            <w:r w:rsidR="00E37D32">
              <w:rPr>
                <w:rFonts w:eastAsia="Times New Roman" w:cstheme="minorHAnsi"/>
                <w:b/>
                <w:bCs/>
                <w:color w:val="000000"/>
                <w:sz w:val="10"/>
                <w:szCs w:val="10"/>
                <w:lang w:val="en-GB" w:eastAsia="de-DE"/>
              </w:rPr>
              <w:t xml:space="preserve"> recommended?</w:t>
            </w:r>
          </w:p>
        </w:tc>
        <w:tc>
          <w:tcPr>
            <w:tcW w:w="567" w:type="dxa"/>
            <w:shd w:val="clear" w:color="auto" w:fill="BDD6EE" w:themeFill="accent5" w:themeFillTint="66"/>
            <w:vAlign w:val="bottom"/>
          </w:tcPr>
          <w:p w14:paraId="3B26F8E6" w14:textId="0799E7CA" w:rsidR="00A15687" w:rsidRPr="00172FA8" w:rsidRDefault="00A15687" w:rsidP="00A21C90">
            <w:pPr>
              <w:rPr>
                <w:rFonts w:eastAsia="Times New Roman" w:cstheme="minorHAnsi"/>
                <w:b/>
                <w:bCs/>
                <w:color w:val="000000"/>
                <w:sz w:val="10"/>
                <w:szCs w:val="10"/>
                <w:lang w:val="en-GB" w:eastAsia="de-DE"/>
              </w:rPr>
            </w:pPr>
            <w:r w:rsidRPr="00172FA8">
              <w:rPr>
                <w:rFonts w:eastAsia="Times New Roman" w:cstheme="minorHAnsi"/>
                <w:b/>
                <w:bCs/>
                <w:color w:val="000000"/>
                <w:sz w:val="10"/>
                <w:szCs w:val="10"/>
                <w:lang w:val="en-GB" w:eastAsia="de-DE"/>
              </w:rPr>
              <w:t>Complex/multidimensional</w:t>
            </w:r>
          </w:p>
        </w:tc>
        <w:tc>
          <w:tcPr>
            <w:tcW w:w="1134" w:type="dxa"/>
            <w:shd w:val="clear" w:color="auto" w:fill="BDD6EE" w:themeFill="accent5" w:themeFillTint="66"/>
            <w:vAlign w:val="bottom"/>
          </w:tcPr>
          <w:p w14:paraId="3C9C208D" w14:textId="5AC5544D" w:rsidR="00A15687" w:rsidRPr="00172FA8" w:rsidRDefault="00A15687" w:rsidP="00A21C90">
            <w:pPr>
              <w:rPr>
                <w:rFonts w:eastAsia="Times New Roman" w:cstheme="minorHAnsi"/>
                <w:b/>
                <w:bCs/>
                <w:color w:val="000000"/>
                <w:sz w:val="10"/>
                <w:szCs w:val="10"/>
                <w:lang w:val="en-GB" w:eastAsia="de-DE"/>
              </w:rPr>
            </w:pPr>
            <w:r w:rsidRPr="00172FA8">
              <w:rPr>
                <w:rFonts w:eastAsia="Times New Roman" w:cstheme="minorHAnsi"/>
                <w:b/>
                <w:bCs/>
                <w:color w:val="000000"/>
                <w:sz w:val="10"/>
                <w:szCs w:val="10"/>
                <w:lang w:val="en-GB" w:eastAsia="de-DE"/>
              </w:rPr>
              <w:t>perspective</w:t>
            </w:r>
          </w:p>
        </w:tc>
        <w:tc>
          <w:tcPr>
            <w:tcW w:w="1842" w:type="dxa"/>
            <w:shd w:val="clear" w:color="auto" w:fill="BDD6EE" w:themeFill="accent5" w:themeFillTint="66"/>
            <w:vAlign w:val="bottom"/>
          </w:tcPr>
          <w:p w14:paraId="4C99894E" w14:textId="75D077E8" w:rsidR="00A15687" w:rsidRPr="00172FA8" w:rsidRDefault="00A15687" w:rsidP="00A21C90">
            <w:pPr>
              <w:rPr>
                <w:rFonts w:eastAsia="Times New Roman" w:cstheme="minorHAnsi"/>
                <w:b/>
                <w:bCs/>
                <w:color w:val="000000"/>
                <w:sz w:val="10"/>
                <w:szCs w:val="10"/>
                <w:lang w:val="en-GB" w:eastAsia="de-DE"/>
              </w:rPr>
            </w:pPr>
            <w:r w:rsidRPr="00172FA8">
              <w:rPr>
                <w:rFonts w:eastAsia="Times New Roman" w:cstheme="minorHAnsi"/>
                <w:b/>
                <w:bCs/>
                <w:color w:val="000000"/>
                <w:sz w:val="10"/>
                <w:szCs w:val="10"/>
                <w:lang w:val="en-GB" w:eastAsia="de-DE"/>
              </w:rPr>
              <w:t>Specific for costs</w:t>
            </w:r>
          </w:p>
        </w:tc>
        <w:tc>
          <w:tcPr>
            <w:tcW w:w="709" w:type="dxa"/>
            <w:shd w:val="clear" w:color="auto" w:fill="BDD6EE" w:themeFill="accent5" w:themeFillTint="66"/>
            <w:vAlign w:val="bottom"/>
          </w:tcPr>
          <w:p w14:paraId="39354523" w14:textId="1C56C232" w:rsidR="00A15687" w:rsidRPr="00172FA8" w:rsidRDefault="00A15687" w:rsidP="00A21C90">
            <w:pPr>
              <w:rPr>
                <w:rFonts w:eastAsia="Times New Roman" w:cstheme="minorHAnsi"/>
                <w:b/>
                <w:bCs/>
                <w:color w:val="000000"/>
                <w:sz w:val="10"/>
                <w:szCs w:val="10"/>
                <w:lang w:val="en-GB" w:eastAsia="de-DE"/>
              </w:rPr>
            </w:pPr>
            <w:r w:rsidRPr="00172FA8">
              <w:rPr>
                <w:rFonts w:eastAsia="Times New Roman" w:cstheme="minorHAnsi"/>
                <w:b/>
                <w:bCs/>
                <w:color w:val="000000"/>
                <w:sz w:val="10"/>
                <w:szCs w:val="10"/>
                <w:lang w:val="en-GB" w:eastAsia="de-DE"/>
              </w:rPr>
              <w:t>Additional decision criteria</w:t>
            </w:r>
          </w:p>
        </w:tc>
        <w:tc>
          <w:tcPr>
            <w:tcW w:w="851" w:type="dxa"/>
            <w:shd w:val="clear" w:color="auto" w:fill="BDD6EE" w:themeFill="accent5" w:themeFillTint="66"/>
            <w:vAlign w:val="bottom"/>
          </w:tcPr>
          <w:p w14:paraId="4BAA1459" w14:textId="69C3B76C" w:rsidR="00A15687" w:rsidRPr="00172FA8" w:rsidRDefault="00A15687" w:rsidP="00A21C90">
            <w:pPr>
              <w:rPr>
                <w:rFonts w:eastAsia="Times New Roman" w:cstheme="minorHAnsi"/>
                <w:b/>
                <w:bCs/>
                <w:color w:val="000000"/>
                <w:sz w:val="10"/>
                <w:szCs w:val="10"/>
                <w:lang w:val="en-GB" w:eastAsia="de-DE"/>
              </w:rPr>
            </w:pPr>
            <w:proofErr w:type="spellStart"/>
            <w:r w:rsidRPr="00172FA8">
              <w:rPr>
                <w:rFonts w:eastAsia="Times New Roman" w:cstheme="minorHAnsi"/>
                <w:b/>
                <w:bCs/>
                <w:color w:val="000000"/>
                <w:sz w:val="10"/>
                <w:szCs w:val="10"/>
                <w:lang w:val="en-GB" w:eastAsia="de-DE"/>
              </w:rPr>
              <w:t>Multidim</w:t>
            </w:r>
            <w:r w:rsidR="00E37D32">
              <w:rPr>
                <w:rFonts w:eastAsia="Times New Roman" w:cstheme="minorHAnsi"/>
                <w:b/>
                <w:bCs/>
                <w:color w:val="000000"/>
                <w:sz w:val="10"/>
                <w:szCs w:val="10"/>
                <w:lang w:val="en-GB" w:eastAsia="de-DE"/>
              </w:rPr>
              <w:t>ens</w:t>
            </w:r>
            <w:proofErr w:type="spellEnd"/>
            <w:r w:rsidR="00E37D32">
              <w:rPr>
                <w:rFonts w:eastAsia="Times New Roman" w:cstheme="minorHAnsi"/>
                <w:b/>
                <w:bCs/>
                <w:color w:val="000000"/>
                <w:sz w:val="10"/>
                <w:szCs w:val="10"/>
                <w:lang w:val="en-GB" w:eastAsia="de-DE"/>
              </w:rPr>
              <w:t>.</w:t>
            </w:r>
            <w:r w:rsidRPr="00172FA8">
              <w:rPr>
                <w:rFonts w:eastAsia="Times New Roman" w:cstheme="minorHAnsi"/>
                <w:b/>
                <w:bCs/>
                <w:color w:val="000000"/>
                <w:sz w:val="10"/>
                <w:szCs w:val="10"/>
                <w:lang w:val="en-GB" w:eastAsia="de-DE"/>
              </w:rPr>
              <w:t xml:space="preserve"> </w:t>
            </w:r>
            <w:r w:rsidR="00E37D32">
              <w:rPr>
                <w:rFonts w:eastAsia="Times New Roman" w:cstheme="minorHAnsi"/>
                <w:b/>
                <w:bCs/>
                <w:color w:val="000000"/>
                <w:sz w:val="10"/>
                <w:szCs w:val="10"/>
                <w:lang w:val="en-GB" w:eastAsia="de-DE"/>
              </w:rPr>
              <w:t>o</w:t>
            </w:r>
            <w:r w:rsidRPr="00172FA8">
              <w:rPr>
                <w:rFonts w:eastAsia="Times New Roman" w:cstheme="minorHAnsi"/>
                <w:b/>
                <w:bCs/>
                <w:color w:val="000000"/>
                <w:sz w:val="10"/>
                <w:szCs w:val="10"/>
                <w:lang w:val="en-GB" w:eastAsia="de-DE"/>
              </w:rPr>
              <w:t>utcome assessm</w:t>
            </w:r>
            <w:r>
              <w:rPr>
                <w:rFonts w:eastAsia="Times New Roman" w:cstheme="minorHAnsi"/>
                <w:b/>
                <w:bCs/>
                <w:color w:val="000000"/>
                <w:sz w:val="10"/>
                <w:szCs w:val="10"/>
                <w:lang w:val="en-GB" w:eastAsia="de-DE"/>
              </w:rPr>
              <w:t>ent</w:t>
            </w:r>
          </w:p>
        </w:tc>
        <w:tc>
          <w:tcPr>
            <w:tcW w:w="1559" w:type="dxa"/>
            <w:shd w:val="clear" w:color="auto" w:fill="BDD6EE" w:themeFill="accent5" w:themeFillTint="66"/>
            <w:vAlign w:val="bottom"/>
          </w:tcPr>
          <w:p w14:paraId="56DB82DB" w14:textId="5BC63AAF" w:rsidR="00A15687" w:rsidRPr="00172FA8" w:rsidRDefault="00A15687" w:rsidP="00A21C90">
            <w:pPr>
              <w:rPr>
                <w:rFonts w:eastAsia="Times New Roman" w:cstheme="minorHAnsi"/>
                <w:b/>
                <w:bCs/>
                <w:color w:val="000000"/>
                <w:sz w:val="10"/>
                <w:szCs w:val="10"/>
                <w:lang w:val="en-GB" w:eastAsia="de-DE"/>
              </w:rPr>
            </w:pPr>
            <w:r w:rsidRPr="00172FA8">
              <w:rPr>
                <w:rFonts w:eastAsia="Times New Roman" w:cstheme="minorHAnsi"/>
                <w:b/>
                <w:bCs/>
                <w:color w:val="000000"/>
                <w:sz w:val="10"/>
                <w:szCs w:val="10"/>
                <w:lang w:val="en-GB" w:eastAsia="de-DE"/>
              </w:rPr>
              <w:t>Specific for outcomes</w:t>
            </w:r>
          </w:p>
        </w:tc>
        <w:tc>
          <w:tcPr>
            <w:tcW w:w="1984" w:type="dxa"/>
            <w:shd w:val="clear" w:color="auto" w:fill="BDD6EE" w:themeFill="accent5" w:themeFillTint="66"/>
            <w:vAlign w:val="bottom"/>
          </w:tcPr>
          <w:p w14:paraId="3E37F44F" w14:textId="07AA2F57" w:rsidR="00A15687" w:rsidRPr="00172FA8" w:rsidRDefault="00A15687" w:rsidP="00A21C90">
            <w:pPr>
              <w:rPr>
                <w:rFonts w:eastAsia="Times New Roman" w:cstheme="minorHAnsi"/>
                <w:b/>
                <w:bCs/>
                <w:color w:val="000000"/>
                <w:sz w:val="10"/>
                <w:szCs w:val="10"/>
                <w:lang w:val="en-GB" w:eastAsia="de-DE"/>
              </w:rPr>
            </w:pPr>
            <w:r w:rsidRPr="00172FA8">
              <w:rPr>
                <w:rFonts w:eastAsia="Times New Roman" w:cstheme="minorHAnsi"/>
                <w:b/>
                <w:bCs/>
                <w:color w:val="000000"/>
                <w:sz w:val="10"/>
                <w:szCs w:val="10"/>
                <w:lang w:val="en-GB" w:eastAsia="de-DE"/>
              </w:rPr>
              <w:t>Which outcomes</w:t>
            </w:r>
          </w:p>
        </w:tc>
      </w:tr>
      <w:tr w:rsidR="00A15687" w:rsidRPr="00172FA8" w14:paraId="27CAB232" w14:textId="77777777" w:rsidTr="00124BEF">
        <w:trPr>
          <w:trHeight w:val="992"/>
        </w:trPr>
        <w:tc>
          <w:tcPr>
            <w:tcW w:w="603" w:type="dxa"/>
            <w:shd w:val="clear" w:color="auto" w:fill="auto"/>
            <w:vAlign w:val="bottom"/>
            <w:hideMark/>
          </w:tcPr>
          <w:p w14:paraId="638920B4" w14:textId="72B0D098"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Andrich</w:t>
            </w:r>
            <w:r>
              <w:rPr>
                <w:rFonts w:eastAsia="Times New Roman" w:cstheme="minorHAnsi"/>
                <w:color w:val="000000"/>
                <w:sz w:val="10"/>
                <w:szCs w:val="10"/>
                <w:lang w:val="en-GB" w:eastAsia="de-DE"/>
              </w:rPr>
              <w:t>,</w:t>
            </w:r>
            <w:r w:rsidRPr="00A21C90">
              <w:rPr>
                <w:rFonts w:eastAsia="Times New Roman" w:cstheme="minorHAnsi"/>
                <w:color w:val="000000"/>
                <w:sz w:val="10"/>
                <w:szCs w:val="10"/>
                <w:lang w:val="en-GB" w:eastAsia="de-DE"/>
              </w:rPr>
              <w:t xml:space="preserve"> </w:t>
            </w:r>
            <w:proofErr w:type="spellStart"/>
            <w:r w:rsidRPr="00A21C90">
              <w:rPr>
                <w:rFonts w:eastAsia="Times New Roman" w:cstheme="minorHAnsi"/>
                <w:color w:val="000000"/>
                <w:sz w:val="10"/>
                <w:szCs w:val="10"/>
                <w:lang w:val="en-GB" w:eastAsia="de-DE"/>
              </w:rPr>
              <w:t>Caracciolo</w:t>
            </w:r>
            <w:proofErr w:type="spellEnd"/>
            <w:r w:rsidRPr="00172FA8">
              <w:rPr>
                <w:rFonts w:eastAsia="Times New Roman" w:cstheme="minorHAnsi"/>
                <w:color w:val="000000"/>
                <w:sz w:val="10"/>
                <w:szCs w:val="10"/>
                <w:lang w:val="en-GB" w:eastAsia="de-DE"/>
              </w:rPr>
              <w:t xml:space="preserve"> 2007</w:t>
            </w:r>
          </w:p>
        </w:tc>
        <w:tc>
          <w:tcPr>
            <w:tcW w:w="584" w:type="dxa"/>
            <w:shd w:val="clear" w:color="auto" w:fill="auto"/>
            <w:vAlign w:val="bottom"/>
            <w:hideMark/>
          </w:tcPr>
          <w:p w14:paraId="0E46446A"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assistive technology</w:t>
            </w:r>
          </w:p>
        </w:tc>
        <w:tc>
          <w:tcPr>
            <w:tcW w:w="509" w:type="dxa"/>
            <w:shd w:val="clear" w:color="auto" w:fill="auto"/>
            <w:vAlign w:val="bottom"/>
            <w:hideMark/>
          </w:tcPr>
          <w:p w14:paraId="38BB5034"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Tutorial</w:t>
            </w:r>
          </w:p>
        </w:tc>
        <w:tc>
          <w:tcPr>
            <w:tcW w:w="2266" w:type="dxa"/>
            <w:shd w:val="clear" w:color="auto" w:fill="auto"/>
            <w:vAlign w:val="bottom"/>
            <w:hideMark/>
          </w:tcPr>
          <w:p w14:paraId="20148E5B"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Assessment of social costs averted by individual AT is necessary if no technological alternatives are available</w:t>
            </w:r>
          </w:p>
        </w:tc>
        <w:tc>
          <w:tcPr>
            <w:tcW w:w="711" w:type="dxa"/>
            <w:shd w:val="clear" w:color="auto" w:fill="auto"/>
            <w:vAlign w:val="bottom"/>
            <w:hideMark/>
          </w:tcPr>
          <w:p w14:paraId="4FA5ED0F"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partially</w:t>
            </w:r>
          </w:p>
        </w:tc>
        <w:tc>
          <w:tcPr>
            <w:tcW w:w="1276" w:type="dxa"/>
            <w:shd w:val="clear" w:color="auto" w:fill="auto"/>
            <w:vAlign w:val="bottom"/>
            <w:hideMark/>
          </w:tcPr>
          <w:p w14:paraId="2B84348A"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the proposed instrument for cost assessment, which should be used as informative tool, not as decision-making tool; costs and effectiveness outcomes should be analysed separately</w:t>
            </w:r>
          </w:p>
        </w:tc>
        <w:tc>
          <w:tcPr>
            <w:tcW w:w="709" w:type="dxa"/>
            <w:shd w:val="clear" w:color="auto" w:fill="auto"/>
            <w:vAlign w:val="bottom"/>
            <w:hideMark/>
          </w:tcPr>
          <w:p w14:paraId="09E04EAE"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567" w:type="dxa"/>
            <w:shd w:val="clear" w:color="auto" w:fill="auto"/>
            <w:vAlign w:val="bottom"/>
            <w:hideMark/>
          </w:tcPr>
          <w:p w14:paraId="7D3713B1" w14:textId="77777777" w:rsidR="00A15687" w:rsidRPr="00A21C90" w:rsidRDefault="00A15687" w:rsidP="00A21C90">
            <w:pPr>
              <w:rPr>
                <w:rFonts w:eastAsia="Times New Roman" w:cstheme="minorHAnsi"/>
                <w:color w:val="000000"/>
                <w:sz w:val="10"/>
                <w:szCs w:val="10"/>
                <w:lang w:val="en-GB" w:eastAsia="de-DE"/>
              </w:rPr>
            </w:pPr>
          </w:p>
        </w:tc>
        <w:tc>
          <w:tcPr>
            <w:tcW w:w="1134" w:type="dxa"/>
            <w:shd w:val="clear" w:color="auto" w:fill="auto"/>
            <w:vAlign w:val="bottom"/>
            <w:hideMark/>
          </w:tcPr>
          <w:p w14:paraId="7C966054"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social perspective (social costs)</w:t>
            </w:r>
          </w:p>
        </w:tc>
        <w:tc>
          <w:tcPr>
            <w:tcW w:w="1842" w:type="dxa"/>
            <w:shd w:val="clear" w:color="auto" w:fill="auto"/>
            <w:vAlign w:val="bottom"/>
            <w:hideMark/>
          </w:tcPr>
          <w:p w14:paraId="2FFA7273"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detailed assessment of social-cost of non-intervention is necessary as long as no technological alternatives are available</w:t>
            </w:r>
          </w:p>
        </w:tc>
        <w:tc>
          <w:tcPr>
            <w:tcW w:w="709" w:type="dxa"/>
            <w:shd w:val="clear" w:color="auto" w:fill="auto"/>
            <w:vAlign w:val="bottom"/>
            <w:hideMark/>
          </w:tcPr>
          <w:p w14:paraId="36056A0A"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clinical experience, common sense and professional ethics</w:t>
            </w:r>
          </w:p>
        </w:tc>
        <w:tc>
          <w:tcPr>
            <w:tcW w:w="851" w:type="dxa"/>
            <w:shd w:val="clear" w:color="auto" w:fill="auto"/>
            <w:vAlign w:val="bottom"/>
            <w:hideMark/>
          </w:tcPr>
          <w:p w14:paraId="08C1C752"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559" w:type="dxa"/>
            <w:shd w:val="clear" w:color="auto" w:fill="auto"/>
            <w:vAlign w:val="bottom"/>
            <w:hideMark/>
          </w:tcPr>
          <w:p w14:paraId="0D08456C"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comprehensive outcome indicators for individual AT </w:t>
            </w:r>
            <w:proofErr w:type="spellStart"/>
            <w:r w:rsidRPr="00A21C90">
              <w:rPr>
                <w:rFonts w:eastAsia="Times New Roman" w:cstheme="minorHAnsi"/>
                <w:color w:val="000000"/>
                <w:sz w:val="10"/>
                <w:szCs w:val="10"/>
                <w:lang w:val="en-GB" w:eastAsia="de-DE"/>
              </w:rPr>
              <w:t>at</w:t>
            </w:r>
            <w:proofErr w:type="spellEnd"/>
            <w:r w:rsidRPr="00A21C90">
              <w:rPr>
                <w:rFonts w:eastAsia="Times New Roman" w:cstheme="minorHAnsi"/>
                <w:color w:val="000000"/>
                <w:sz w:val="10"/>
                <w:szCs w:val="10"/>
                <w:lang w:val="en-GB" w:eastAsia="de-DE"/>
              </w:rPr>
              <w:t xml:space="preserve"> the population level are missing so far; many effectiveness outcomes cannot be measured in monetary values (or the translation raises ethical issues) thus CBA should be avoided </w:t>
            </w:r>
          </w:p>
        </w:tc>
        <w:tc>
          <w:tcPr>
            <w:tcW w:w="1984" w:type="dxa"/>
            <w:shd w:val="clear" w:color="auto" w:fill="auto"/>
            <w:vAlign w:val="bottom"/>
            <w:hideMark/>
          </w:tcPr>
          <w:p w14:paraId="115BEF4B"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possible outcomes for all stakeholders should be identified (individual/family/professionals/community)</w:t>
            </w:r>
          </w:p>
        </w:tc>
      </w:tr>
      <w:tr w:rsidR="00A15687" w:rsidRPr="00172FA8" w14:paraId="4D96A112" w14:textId="77777777" w:rsidTr="00124BEF">
        <w:trPr>
          <w:trHeight w:val="755"/>
        </w:trPr>
        <w:tc>
          <w:tcPr>
            <w:tcW w:w="603" w:type="dxa"/>
            <w:shd w:val="clear" w:color="auto" w:fill="auto"/>
            <w:vAlign w:val="bottom"/>
            <w:hideMark/>
          </w:tcPr>
          <w:p w14:paraId="2298D105" w14:textId="043F4165" w:rsidR="00A15687" w:rsidRPr="00A21C90" w:rsidRDefault="00A15687" w:rsidP="00A21C90">
            <w:pPr>
              <w:rPr>
                <w:rFonts w:eastAsia="Times New Roman" w:cstheme="minorHAnsi"/>
                <w:color w:val="000000"/>
                <w:sz w:val="10"/>
                <w:szCs w:val="10"/>
                <w:lang w:val="en-GB" w:eastAsia="de-DE"/>
              </w:rPr>
            </w:pPr>
            <w:proofErr w:type="spellStart"/>
            <w:r w:rsidRPr="00A21C90">
              <w:rPr>
                <w:rFonts w:eastAsia="Times New Roman" w:cstheme="minorHAnsi"/>
                <w:color w:val="000000"/>
                <w:sz w:val="10"/>
                <w:szCs w:val="10"/>
                <w:lang w:val="en-GB" w:eastAsia="de-DE"/>
              </w:rPr>
              <w:t>Bashshur</w:t>
            </w:r>
            <w:proofErr w:type="spellEnd"/>
            <w:r w:rsidRPr="00172FA8">
              <w:rPr>
                <w:rFonts w:eastAsia="Times New Roman" w:cstheme="minorHAnsi"/>
                <w:color w:val="000000"/>
                <w:sz w:val="10"/>
                <w:szCs w:val="10"/>
                <w:lang w:val="en-GB" w:eastAsia="de-DE"/>
              </w:rPr>
              <w:t xml:space="preserve"> 1995</w:t>
            </w:r>
          </w:p>
        </w:tc>
        <w:tc>
          <w:tcPr>
            <w:tcW w:w="584" w:type="dxa"/>
            <w:shd w:val="clear" w:color="auto" w:fill="auto"/>
            <w:vAlign w:val="bottom"/>
            <w:hideMark/>
          </w:tcPr>
          <w:p w14:paraId="2F0FEBA4"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telemedicine</w:t>
            </w:r>
          </w:p>
        </w:tc>
        <w:tc>
          <w:tcPr>
            <w:tcW w:w="509" w:type="dxa"/>
            <w:shd w:val="clear" w:color="auto" w:fill="auto"/>
            <w:vAlign w:val="bottom"/>
            <w:hideMark/>
          </w:tcPr>
          <w:p w14:paraId="10CFBE55"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Discussion</w:t>
            </w:r>
          </w:p>
        </w:tc>
        <w:tc>
          <w:tcPr>
            <w:tcW w:w="2266" w:type="dxa"/>
            <w:shd w:val="clear" w:color="auto" w:fill="auto"/>
            <w:vAlign w:val="bottom"/>
            <w:hideMark/>
          </w:tcPr>
          <w:p w14:paraId="1615EB93" w14:textId="5A288354"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multiplicity of ou</w:t>
            </w:r>
            <w:r>
              <w:rPr>
                <w:rFonts w:eastAsia="Times New Roman" w:cstheme="minorHAnsi"/>
                <w:color w:val="000000"/>
                <w:sz w:val="10"/>
                <w:szCs w:val="10"/>
                <w:lang w:val="en-GB" w:eastAsia="de-DE"/>
              </w:rPr>
              <w:t>t</w:t>
            </w:r>
            <w:r w:rsidRPr="00A21C90">
              <w:rPr>
                <w:rFonts w:eastAsia="Times New Roman" w:cstheme="minorHAnsi"/>
                <w:color w:val="000000"/>
                <w:sz w:val="10"/>
                <w:szCs w:val="10"/>
                <w:lang w:val="en-GB" w:eastAsia="de-DE"/>
              </w:rPr>
              <w:t xml:space="preserve">comes in telemedicine; CEA and CBA emphasize measurable costs and benefits, thus considerations of </w:t>
            </w:r>
            <w:r w:rsidR="00C71A7C">
              <w:rPr>
                <w:rFonts w:eastAsia="Times New Roman" w:cstheme="minorHAnsi"/>
                <w:color w:val="000000"/>
                <w:sz w:val="10"/>
                <w:szCs w:val="10"/>
                <w:lang w:val="en-GB" w:eastAsia="de-DE"/>
              </w:rPr>
              <w:t>e.g.,</w:t>
            </w:r>
            <w:r w:rsidRPr="00A21C90">
              <w:rPr>
                <w:rFonts w:eastAsia="Times New Roman" w:cstheme="minorHAnsi"/>
                <w:color w:val="000000"/>
                <w:sz w:val="10"/>
                <w:szCs w:val="10"/>
                <w:lang w:val="en-GB" w:eastAsia="de-DE"/>
              </w:rPr>
              <w:t xml:space="preserve"> equity </w:t>
            </w:r>
            <w:proofErr w:type="gramStart"/>
            <w:r w:rsidRPr="00A21C90">
              <w:rPr>
                <w:rFonts w:eastAsia="Times New Roman" w:cstheme="minorHAnsi"/>
                <w:color w:val="000000"/>
                <w:sz w:val="10"/>
                <w:szCs w:val="10"/>
                <w:lang w:val="en-GB" w:eastAsia="de-DE"/>
              </w:rPr>
              <w:t>are</w:t>
            </w:r>
            <w:proofErr w:type="gramEnd"/>
            <w:r w:rsidRPr="00A21C90">
              <w:rPr>
                <w:rFonts w:eastAsia="Times New Roman" w:cstheme="minorHAnsi"/>
                <w:color w:val="000000"/>
                <w:sz w:val="10"/>
                <w:szCs w:val="10"/>
                <w:lang w:val="en-GB" w:eastAsia="de-DE"/>
              </w:rPr>
              <w:t xml:space="preserve"> deemphasized</w:t>
            </w:r>
          </w:p>
        </w:tc>
        <w:tc>
          <w:tcPr>
            <w:tcW w:w="711" w:type="dxa"/>
            <w:shd w:val="clear" w:color="auto" w:fill="auto"/>
            <w:vAlign w:val="bottom"/>
            <w:hideMark/>
          </w:tcPr>
          <w:p w14:paraId="61FB15AE"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partially</w:t>
            </w:r>
          </w:p>
        </w:tc>
        <w:tc>
          <w:tcPr>
            <w:tcW w:w="1276" w:type="dxa"/>
            <w:shd w:val="clear" w:color="auto" w:fill="auto"/>
            <w:vAlign w:val="bottom"/>
            <w:hideMark/>
          </w:tcPr>
          <w:p w14:paraId="787BA5A6" w14:textId="77777777" w:rsidR="00A15687" w:rsidRPr="00A21C90" w:rsidRDefault="00A15687" w:rsidP="00A21C90">
            <w:pPr>
              <w:rPr>
                <w:rFonts w:eastAsia="Times New Roman" w:cstheme="minorHAnsi"/>
                <w:color w:val="C00000"/>
                <w:sz w:val="10"/>
                <w:szCs w:val="10"/>
                <w:lang w:val="en-GB" w:eastAsia="de-DE"/>
              </w:rPr>
            </w:pPr>
            <w:r w:rsidRPr="00A15687">
              <w:rPr>
                <w:rFonts w:eastAsia="Times New Roman" w:cstheme="minorHAnsi"/>
                <w:color w:val="262626" w:themeColor="text1" w:themeTint="D9"/>
                <w:sz w:val="10"/>
                <w:szCs w:val="10"/>
                <w:lang w:val="en-GB" w:eastAsia="de-DE"/>
              </w:rPr>
              <w:t>CEA or CBA; inferential statistics/multivariate statistical techniques to improve efficiency of estimation and adjustment of selection bias</w:t>
            </w:r>
          </w:p>
        </w:tc>
        <w:tc>
          <w:tcPr>
            <w:tcW w:w="709" w:type="dxa"/>
            <w:shd w:val="clear" w:color="auto" w:fill="auto"/>
            <w:vAlign w:val="bottom"/>
            <w:hideMark/>
          </w:tcPr>
          <w:p w14:paraId="3A8ED1A8"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RCTs, complemented by multivariate statistical techniques</w:t>
            </w:r>
          </w:p>
        </w:tc>
        <w:tc>
          <w:tcPr>
            <w:tcW w:w="567" w:type="dxa"/>
            <w:shd w:val="clear" w:color="auto" w:fill="auto"/>
            <w:vAlign w:val="bottom"/>
            <w:hideMark/>
          </w:tcPr>
          <w:p w14:paraId="140DF9B8" w14:textId="77777777" w:rsidR="00A15687" w:rsidRPr="00A21C90" w:rsidRDefault="00A15687" w:rsidP="00A21C90">
            <w:pPr>
              <w:rPr>
                <w:rFonts w:eastAsia="Times New Roman" w:cstheme="minorHAnsi"/>
                <w:color w:val="000000"/>
                <w:sz w:val="10"/>
                <w:szCs w:val="10"/>
                <w:lang w:val="en-GB" w:eastAsia="de-DE"/>
              </w:rPr>
            </w:pPr>
          </w:p>
        </w:tc>
        <w:tc>
          <w:tcPr>
            <w:tcW w:w="1134" w:type="dxa"/>
            <w:shd w:val="clear" w:color="auto" w:fill="auto"/>
            <w:vAlign w:val="bottom"/>
            <w:hideMark/>
          </w:tcPr>
          <w:p w14:paraId="49A9ED6F"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client, provider and societal perspective</w:t>
            </w:r>
          </w:p>
        </w:tc>
        <w:tc>
          <w:tcPr>
            <w:tcW w:w="1842" w:type="dxa"/>
            <w:shd w:val="clear" w:color="auto" w:fill="auto"/>
            <w:vAlign w:val="bottom"/>
            <w:hideMark/>
          </w:tcPr>
          <w:p w14:paraId="1706A6D9" w14:textId="786AFAEF"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distinction between capital an </w:t>
            </w:r>
            <w:r w:rsidR="00C71A7C" w:rsidRPr="00A21C90">
              <w:rPr>
                <w:rFonts w:eastAsia="Times New Roman" w:cstheme="minorHAnsi"/>
                <w:color w:val="000000"/>
                <w:sz w:val="10"/>
                <w:szCs w:val="10"/>
                <w:lang w:val="en-GB" w:eastAsia="de-DE"/>
              </w:rPr>
              <w:t>operational cost</w:t>
            </w:r>
            <w:r w:rsidRPr="00A21C90">
              <w:rPr>
                <w:rFonts w:eastAsia="Times New Roman" w:cstheme="minorHAnsi"/>
                <w:color w:val="000000"/>
                <w:sz w:val="10"/>
                <w:szCs w:val="10"/>
                <w:lang w:val="en-GB" w:eastAsia="de-DE"/>
              </w:rPr>
              <w:t xml:space="preserve"> may be critical for telemedicine because of different funding sources; </w:t>
            </w:r>
            <w:r w:rsidR="00C71A7C" w:rsidRPr="00A21C90">
              <w:rPr>
                <w:rFonts w:eastAsia="Times New Roman" w:cstheme="minorHAnsi"/>
                <w:color w:val="000000"/>
                <w:sz w:val="10"/>
                <w:szCs w:val="10"/>
                <w:lang w:val="en-GB" w:eastAsia="de-DE"/>
              </w:rPr>
              <w:t>i.e.,</w:t>
            </w:r>
            <w:r w:rsidRPr="00A21C90">
              <w:rPr>
                <w:rFonts w:eastAsia="Times New Roman" w:cstheme="minorHAnsi"/>
                <w:color w:val="000000"/>
                <w:sz w:val="10"/>
                <w:szCs w:val="10"/>
                <w:lang w:val="en-GB" w:eastAsia="de-DE"/>
              </w:rPr>
              <w:t xml:space="preserve"> operational costs may be fixed based on maintenance contracts or variable based on actual usage</w:t>
            </w:r>
          </w:p>
        </w:tc>
        <w:tc>
          <w:tcPr>
            <w:tcW w:w="709" w:type="dxa"/>
            <w:shd w:val="clear" w:color="auto" w:fill="auto"/>
            <w:vAlign w:val="bottom"/>
            <w:hideMark/>
          </w:tcPr>
          <w:p w14:paraId="753B9F68" w14:textId="77777777" w:rsidR="00A15687" w:rsidRPr="00A21C90" w:rsidRDefault="00A15687" w:rsidP="00A21C90">
            <w:pPr>
              <w:rPr>
                <w:rFonts w:eastAsia="Times New Roman" w:cstheme="minorHAnsi"/>
                <w:color w:val="000000"/>
                <w:sz w:val="10"/>
                <w:szCs w:val="10"/>
                <w:lang w:val="en-GB" w:eastAsia="de-DE"/>
              </w:rPr>
            </w:pPr>
          </w:p>
        </w:tc>
        <w:tc>
          <w:tcPr>
            <w:tcW w:w="851" w:type="dxa"/>
            <w:shd w:val="clear" w:color="auto" w:fill="auto"/>
            <w:vAlign w:val="bottom"/>
            <w:hideMark/>
          </w:tcPr>
          <w:p w14:paraId="0B5F4B0D"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559" w:type="dxa"/>
            <w:shd w:val="clear" w:color="auto" w:fill="auto"/>
            <w:vAlign w:val="bottom"/>
            <w:hideMark/>
          </w:tcPr>
          <w:p w14:paraId="61CEE559"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proposes a matrix (client/provider/society - accessibility/costs/quality) to analyse the wide range of possible effects</w:t>
            </w:r>
          </w:p>
        </w:tc>
        <w:tc>
          <w:tcPr>
            <w:tcW w:w="1984" w:type="dxa"/>
            <w:shd w:val="clear" w:color="auto" w:fill="auto"/>
            <w:vAlign w:val="bottom"/>
            <w:hideMark/>
          </w:tcPr>
          <w:p w14:paraId="594166F0"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 differentiates between accessibility, cost effects and quality effects (relating to processes of care, outcomes and interpersonal aspects) that may accrue for clients, provider or society</w:t>
            </w:r>
          </w:p>
        </w:tc>
      </w:tr>
      <w:tr w:rsidR="00A15687" w:rsidRPr="00172FA8" w14:paraId="2B86C176" w14:textId="77777777" w:rsidTr="00124BEF">
        <w:trPr>
          <w:trHeight w:val="122"/>
        </w:trPr>
        <w:tc>
          <w:tcPr>
            <w:tcW w:w="603" w:type="dxa"/>
            <w:shd w:val="clear" w:color="auto" w:fill="auto"/>
            <w:vAlign w:val="bottom"/>
            <w:hideMark/>
          </w:tcPr>
          <w:p w14:paraId="00E95A8A" w14:textId="2A5C9EFD"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Lau</w:t>
            </w:r>
            <w:r w:rsidRPr="00172FA8">
              <w:rPr>
                <w:rFonts w:eastAsia="Times New Roman" w:cstheme="minorHAnsi"/>
                <w:color w:val="000000"/>
                <w:sz w:val="10"/>
                <w:szCs w:val="10"/>
                <w:lang w:val="en-GB" w:eastAsia="de-DE"/>
              </w:rPr>
              <w:t xml:space="preserve"> 2017</w:t>
            </w:r>
          </w:p>
        </w:tc>
        <w:tc>
          <w:tcPr>
            <w:tcW w:w="584" w:type="dxa"/>
            <w:shd w:val="clear" w:color="auto" w:fill="auto"/>
            <w:vAlign w:val="bottom"/>
            <w:hideMark/>
          </w:tcPr>
          <w:p w14:paraId="1CE53FB4" w14:textId="0D6E6E2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e</w:t>
            </w:r>
            <w:r w:rsidR="00623368">
              <w:rPr>
                <w:rFonts w:eastAsia="Times New Roman" w:cstheme="minorHAnsi"/>
                <w:color w:val="000000"/>
                <w:sz w:val="10"/>
                <w:szCs w:val="10"/>
                <w:lang w:val="en-GB" w:eastAsia="de-DE"/>
              </w:rPr>
              <w:t>-</w:t>
            </w:r>
            <w:r w:rsidRPr="00A21C90">
              <w:rPr>
                <w:rFonts w:eastAsia="Times New Roman" w:cstheme="minorHAnsi"/>
                <w:color w:val="000000"/>
                <w:sz w:val="10"/>
                <w:szCs w:val="10"/>
                <w:lang w:val="en-GB" w:eastAsia="de-DE"/>
              </w:rPr>
              <w:t>health (HIS)</w:t>
            </w:r>
          </w:p>
        </w:tc>
        <w:tc>
          <w:tcPr>
            <w:tcW w:w="509" w:type="dxa"/>
            <w:shd w:val="clear" w:color="auto" w:fill="auto"/>
            <w:vAlign w:val="bottom"/>
            <w:hideMark/>
          </w:tcPr>
          <w:p w14:paraId="21C9A0E1"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Framework, Review</w:t>
            </w:r>
          </w:p>
        </w:tc>
        <w:tc>
          <w:tcPr>
            <w:tcW w:w="2266" w:type="dxa"/>
            <w:shd w:val="clear" w:color="auto" w:fill="auto"/>
            <w:vAlign w:val="bottom"/>
            <w:hideMark/>
          </w:tcPr>
          <w:p w14:paraId="602798F6"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not discussed</w:t>
            </w:r>
          </w:p>
        </w:tc>
        <w:tc>
          <w:tcPr>
            <w:tcW w:w="711" w:type="dxa"/>
            <w:shd w:val="clear" w:color="auto" w:fill="auto"/>
            <w:vAlign w:val="bottom"/>
            <w:hideMark/>
          </w:tcPr>
          <w:p w14:paraId="6A240DB3"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276" w:type="dxa"/>
            <w:shd w:val="clear" w:color="auto" w:fill="auto"/>
            <w:vAlign w:val="bottom"/>
            <w:hideMark/>
          </w:tcPr>
          <w:p w14:paraId="042E814B" w14:textId="77777777" w:rsidR="00A15687" w:rsidRPr="00A21C90" w:rsidRDefault="00A15687" w:rsidP="00A21C90">
            <w:pPr>
              <w:rPr>
                <w:rFonts w:eastAsia="Times New Roman" w:cstheme="minorHAnsi"/>
                <w:color w:val="000000"/>
                <w:sz w:val="10"/>
                <w:szCs w:val="10"/>
                <w:lang w:val="en-GB" w:eastAsia="de-DE"/>
              </w:rPr>
            </w:pPr>
          </w:p>
        </w:tc>
        <w:tc>
          <w:tcPr>
            <w:tcW w:w="709" w:type="dxa"/>
            <w:shd w:val="clear" w:color="auto" w:fill="auto"/>
            <w:vAlign w:val="bottom"/>
            <w:hideMark/>
          </w:tcPr>
          <w:p w14:paraId="0722D7FE"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567" w:type="dxa"/>
            <w:shd w:val="clear" w:color="auto" w:fill="auto"/>
            <w:vAlign w:val="bottom"/>
            <w:hideMark/>
          </w:tcPr>
          <w:p w14:paraId="5EC4D229" w14:textId="77777777" w:rsidR="00A15687" w:rsidRPr="00A21C90" w:rsidRDefault="00A15687" w:rsidP="00A21C90">
            <w:pPr>
              <w:rPr>
                <w:rFonts w:eastAsia="Times New Roman" w:cstheme="minorHAnsi"/>
                <w:color w:val="000000"/>
                <w:sz w:val="10"/>
                <w:szCs w:val="10"/>
                <w:lang w:val="en-GB" w:eastAsia="de-DE"/>
              </w:rPr>
            </w:pPr>
          </w:p>
        </w:tc>
        <w:tc>
          <w:tcPr>
            <w:tcW w:w="1134" w:type="dxa"/>
            <w:shd w:val="clear" w:color="auto" w:fill="auto"/>
            <w:vAlign w:val="bottom"/>
            <w:hideMark/>
          </w:tcPr>
          <w:p w14:paraId="29E5B3FE"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should be clearly stated (individual, organization, payer, society)</w:t>
            </w:r>
          </w:p>
        </w:tc>
        <w:tc>
          <w:tcPr>
            <w:tcW w:w="1842" w:type="dxa"/>
            <w:shd w:val="clear" w:color="auto" w:fill="auto"/>
            <w:vAlign w:val="bottom"/>
            <w:hideMark/>
          </w:tcPr>
          <w:p w14:paraId="6C36F348" w14:textId="77777777" w:rsidR="00A15687" w:rsidRPr="00A21C90" w:rsidRDefault="00A15687" w:rsidP="00A21C90">
            <w:pPr>
              <w:rPr>
                <w:rFonts w:eastAsia="Times New Roman" w:cstheme="minorHAnsi"/>
                <w:color w:val="000000"/>
                <w:sz w:val="10"/>
                <w:szCs w:val="10"/>
                <w:lang w:val="en-GB" w:eastAsia="de-DE"/>
              </w:rPr>
            </w:pPr>
          </w:p>
        </w:tc>
        <w:tc>
          <w:tcPr>
            <w:tcW w:w="709" w:type="dxa"/>
            <w:shd w:val="clear" w:color="auto" w:fill="auto"/>
            <w:vAlign w:val="bottom"/>
            <w:hideMark/>
          </w:tcPr>
          <w:p w14:paraId="13201376" w14:textId="77777777" w:rsidR="00A15687" w:rsidRPr="00A21C90" w:rsidRDefault="00A15687" w:rsidP="00A21C90">
            <w:pPr>
              <w:rPr>
                <w:rFonts w:eastAsia="Times New Roman" w:cstheme="minorHAnsi"/>
                <w:sz w:val="10"/>
                <w:szCs w:val="10"/>
                <w:lang w:val="en-GB" w:eastAsia="de-DE"/>
              </w:rPr>
            </w:pPr>
          </w:p>
        </w:tc>
        <w:tc>
          <w:tcPr>
            <w:tcW w:w="851" w:type="dxa"/>
            <w:shd w:val="clear" w:color="auto" w:fill="auto"/>
            <w:vAlign w:val="bottom"/>
            <w:hideMark/>
          </w:tcPr>
          <w:p w14:paraId="5097448C" w14:textId="60800486" w:rsidR="00A15687" w:rsidRPr="00A21C90" w:rsidRDefault="007A2EE3" w:rsidP="00A21C90">
            <w:pPr>
              <w:rPr>
                <w:rFonts w:eastAsia="Times New Roman" w:cstheme="minorHAnsi"/>
                <w:sz w:val="10"/>
                <w:szCs w:val="10"/>
                <w:lang w:val="en-GB" w:eastAsia="de-DE"/>
              </w:rPr>
            </w:pPr>
            <w:r>
              <w:rPr>
                <w:rFonts w:eastAsia="Times New Roman" w:cstheme="minorHAnsi"/>
                <w:sz w:val="10"/>
                <w:szCs w:val="10"/>
                <w:lang w:val="en-GB" w:eastAsia="de-DE"/>
              </w:rPr>
              <w:t>n.m.</w:t>
            </w:r>
          </w:p>
        </w:tc>
        <w:tc>
          <w:tcPr>
            <w:tcW w:w="1559" w:type="dxa"/>
            <w:shd w:val="clear" w:color="auto" w:fill="auto"/>
            <w:vAlign w:val="bottom"/>
            <w:hideMark/>
          </w:tcPr>
          <w:p w14:paraId="562D8EEB" w14:textId="77777777" w:rsidR="00A15687" w:rsidRPr="00A21C90" w:rsidRDefault="00A15687" w:rsidP="00A21C90">
            <w:pPr>
              <w:rPr>
                <w:rFonts w:eastAsia="Times New Roman" w:cstheme="minorHAnsi"/>
                <w:sz w:val="10"/>
                <w:szCs w:val="10"/>
                <w:lang w:val="en-GB" w:eastAsia="de-DE"/>
              </w:rPr>
            </w:pPr>
          </w:p>
        </w:tc>
        <w:tc>
          <w:tcPr>
            <w:tcW w:w="1984" w:type="dxa"/>
            <w:shd w:val="clear" w:color="auto" w:fill="auto"/>
            <w:vAlign w:val="bottom"/>
            <w:hideMark/>
          </w:tcPr>
          <w:p w14:paraId="2CD0A1F7"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financial outcomes (including changes in revenues, labour and supply costs, capital costs expressed in monetary units); non-financial outcomes (including changes in resource utilization and health outcomes in their natural units). </w:t>
            </w:r>
          </w:p>
        </w:tc>
      </w:tr>
      <w:tr w:rsidR="00A15687" w:rsidRPr="00172FA8" w14:paraId="4F843629" w14:textId="77777777" w:rsidTr="00124BEF">
        <w:trPr>
          <w:trHeight w:val="567"/>
        </w:trPr>
        <w:tc>
          <w:tcPr>
            <w:tcW w:w="603" w:type="dxa"/>
            <w:shd w:val="clear" w:color="auto" w:fill="auto"/>
            <w:vAlign w:val="bottom"/>
            <w:hideMark/>
          </w:tcPr>
          <w:p w14:paraId="26101E8C" w14:textId="76B7E749"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Reardon</w:t>
            </w:r>
            <w:r w:rsidRPr="00172FA8">
              <w:rPr>
                <w:rFonts w:eastAsia="Times New Roman" w:cstheme="minorHAnsi"/>
                <w:color w:val="000000"/>
                <w:sz w:val="10"/>
                <w:szCs w:val="10"/>
                <w:lang w:val="en-GB" w:eastAsia="de-DE"/>
              </w:rPr>
              <w:t xml:space="preserve"> 2005</w:t>
            </w:r>
          </w:p>
        </w:tc>
        <w:tc>
          <w:tcPr>
            <w:tcW w:w="584" w:type="dxa"/>
            <w:shd w:val="clear" w:color="auto" w:fill="auto"/>
            <w:vAlign w:val="bottom"/>
            <w:hideMark/>
          </w:tcPr>
          <w:p w14:paraId="50F96C0F"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telemedicine</w:t>
            </w:r>
          </w:p>
        </w:tc>
        <w:tc>
          <w:tcPr>
            <w:tcW w:w="509" w:type="dxa"/>
            <w:shd w:val="clear" w:color="auto" w:fill="auto"/>
            <w:vAlign w:val="bottom"/>
            <w:hideMark/>
          </w:tcPr>
          <w:p w14:paraId="0BB3530B"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Discussion (incl. Review)</w:t>
            </w:r>
          </w:p>
        </w:tc>
        <w:tc>
          <w:tcPr>
            <w:tcW w:w="2266" w:type="dxa"/>
            <w:shd w:val="clear" w:color="auto" w:fill="auto"/>
            <w:vAlign w:val="bottom"/>
            <w:hideMark/>
          </w:tcPr>
          <w:p w14:paraId="0C5C500A" w14:textId="4914975C"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low level of use, rapidly changing technology, large impact of contextual factors; </w:t>
            </w:r>
            <w:r w:rsidR="00C71A7C" w:rsidRPr="00A21C90">
              <w:rPr>
                <w:rFonts w:eastAsia="Times New Roman" w:cstheme="minorHAnsi"/>
                <w:color w:val="000000"/>
                <w:sz w:val="10"/>
                <w:szCs w:val="10"/>
                <w:lang w:val="en-GB" w:eastAsia="de-DE"/>
              </w:rPr>
              <w:t>ambiguous</w:t>
            </w:r>
            <w:r w:rsidRPr="00A21C90">
              <w:rPr>
                <w:rFonts w:eastAsia="Times New Roman" w:cstheme="minorHAnsi"/>
                <w:color w:val="000000"/>
                <w:sz w:val="10"/>
                <w:szCs w:val="10"/>
                <w:lang w:val="en-GB" w:eastAsia="de-DE"/>
              </w:rPr>
              <w:t xml:space="preserve"> boundaries of the interventions; broadly defined or intangible outputs; to identify the decision-making information requirements; to depict the decision framework that defines the contextual validity of findings; </w:t>
            </w:r>
          </w:p>
        </w:tc>
        <w:tc>
          <w:tcPr>
            <w:tcW w:w="711" w:type="dxa"/>
            <w:shd w:val="clear" w:color="auto" w:fill="auto"/>
            <w:vAlign w:val="bottom"/>
            <w:hideMark/>
          </w:tcPr>
          <w:p w14:paraId="4C7758EA"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partially</w:t>
            </w:r>
          </w:p>
        </w:tc>
        <w:tc>
          <w:tcPr>
            <w:tcW w:w="1276" w:type="dxa"/>
            <w:shd w:val="clear" w:color="auto" w:fill="auto"/>
            <w:vAlign w:val="bottom"/>
            <w:hideMark/>
          </w:tcPr>
          <w:p w14:paraId="199AD536"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economic production functions, decision making frameworks (incl. cost assessment frameworks), analysis of environmental determinants, functional economic analysis (FEA)</w:t>
            </w:r>
          </w:p>
        </w:tc>
        <w:tc>
          <w:tcPr>
            <w:tcW w:w="709" w:type="dxa"/>
            <w:shd w:val="clear" w:color="auto" w:fill="auto"/>
            <w:vAlign w:val="bottom"/>
            <w:hideMark/>
          </w:tcPr>
          <w:p w14:paraId="63F2480A"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partially (not always the best/more flexible methods necessary)</w:t>
            </w:r>
          </w:p>
        </w:tc>
        <w:tc>
          <w:tcPr>
            <w:tcW w:w="567" w:type="dxa"/>
            <w:shd w:val="clear" w:color="auto" w:fill="auto"/>
            <w:vAlign w:val="bottom"/>
            <w:hideMark/>
          </w:tcPr>
          <w:p w14:paraId="60C29626"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134" w:type="dxa"/>
            <w:shd w:val="clear" w:color="auto" w:fill="auto"/>
            <w:vAlign w:val="bottom"/>
            <w:hideMark/>
          </w:tcPr>
          <w:p w14:paraId="4253B3B3" w14:textId="080B9283"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perspective of the decision-maker should be the main </w:t>
            </w:r>
            <w:r w:rsidR="00272640" w:rsidRPr="00A21C90">
              <w:rPr>
                <w:rFonts w:eastAsia="Times New Roman" w:cstheme="minorHAnsi"/>
                <w:color w:val="000000"/>
                <w:sz w:val="10"/>
                <w:szCs w:val="10"/>
                <w:lang w:val="en-GB" w:eastAsia="de-DE"/>
              </w:rPr>
              <w:t>focus;</w:t>
            </w:r>
            <w:r w:rsidRPr="00A21C90">
              <w:rPr>
                <w:rFonts w:eastAsia="Times New Roman" w:cstheme="minorHAnsi"/>
                <w:color w:val="000000"/>
                <w:sz w:val="10"/>
                <w:szCs w:val="10"/>
                <w:lang w:val="en-GB" w:eastAsia="de-DE"/>
              </w:rPr>
              <w:t xml:space="preserve"> other perspectives may be included to provide more generalizable results</w:t>
            </w:r>
          </w:p>
        </w:tc>
        <w:tc>
          <w:tcPr>
            <w:tcW w:w="1842" w:type="dxa"/>
            <w:shd w:val="clear" w:color="auto" w:fill="auto"/>
            <w:vAlign w:val="bottom"/>
            <w:hideMark/>
          </w:tcPr>
          <w:p w14:paraId="2021C2EE"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tools and schemes of clinical research (evaluations of drugs or devices) are not directly applicable </w:t>
            </w:r>
          </w:p>
        </w:tc>
        <w:tc>
          <w:tcPr>
            <w:tcW w:w="709" w:type="dxa"/>
            <w:shd w:val="clear" w:color="auto" w:fill="auto"/>
            <w:vAlign w:val="bottom"/>
            <w:hideMark/>
          </w:tcPr>
          <w:p w14:paraId="4A3FE353" w14:textId="77777777" w:rsidR="00A15687" w:rsidRPr="00A21C90" w:rsidRDefault="00A15687" w:rsidP="00A21C90">
            <w:pPr>
              <w:rPr>
                <w:rFonts w:eastAsia="Times New Roman" w:cstheme="minorHAnsi"/>
                <w:color w:val="000000"/>
                <w:sz w:val="10"/>
                <w:szCs w:val="10"/>
                <w:lang w:val="en-GB" w:eastAsia="de-DE"/>
              </w:rPr>
            </w:pPr>
          </w:p>
        </w:tc>
        <w:tc>
          <w:tcPr>
            <w:tcW w:w="851" w:type="dxa"/>
            <w:shd w:val="clear" w:color="auto" w:fill="auto"/>
            <w:vAlign w:val="bottom"/>
            <w:hideMark/>
          </w:tcPr>
          <w:p w14:paraId="1000D034" w14:textId="04E45C68" w:rsidR="00A15687" w:rsidRPr="00A21C90" w:rsidRDefault="007A2EE3" w:rsidP="00A21C90">
            <w:pPr>
              <w:rPr>
                <w:rFonts w:eastAsia="Times New Roman" w:cstheme="minorHAnsi"/>
                <w:sz w:val="10"/>
                <w:szCs w:val="10"/>
                <w:lang w:val="en-GB" w:eastAsia="de-DE"/>
              </w:rPr>
            </w:pPr>
            <w:r>
              <w:rPr>
                <w:rFonts w:eastAsia="Times New Roman" w:cstheme="minorHAnsi"/>
                <w:sz w:val="10"/>
                <w:szCs w:val="10"/>
                <w:lang w:val="en-GB" w:eastAsia="de-DE"/>
              </w:rPr>
              <w:t>n.m.</w:t>
            </w:r>
          </w:p>
        </w:tc>
        <w:tc>
          <w:tcPr>
            <w:tcW w:w="1559" w:type="dxa"/>
            <w:shd w:val="clear" w:color="auto" w:fill="auto"/>
            <w:vAlign w:val="bottom"/>
            <w:hideMark/>
          </w:tcPr>
          <w:p w14:paraId="0A4027B2"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outcomes are often difficult to identify, because detecting them depends on prior expectations/knowledge; whether an outcome is a benefit may depend on the perspective of the decision maker or stakeholder; assigning value to outcomes and aggregating different outcomes/benefits is a difficult task. </w:t>
            </w:r>
          </w:p>
        </w:tc>
        <w:tc>
          <w:tcPr>
            <w:tcW w:w="1984" w:type="dxa"/>
            <w:shd w:val="clear" w:color="auto" w:fill="auto"/>
            <w:vAlign w:val="bottom"/>
            <w:hideMark/>
          </w:tcPr>
          <w:p w14:paraId="5A3F921B" w14:textId="1D95EC60"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a detailed analysis is necessary (based on productions functions) to identify possible positive effects (reduction of travel time, improved care, reduced use of medical care </w:t>
            </w:r>
            <w:r>
              <w:rPr>
                <w:rFonts w:eastAsia="Times New Roman" w:cstheme="minorHAnsi"/>
                <w:color w:val="000000"/>
                <w:sz w:val="10"/>
                <w:szCs w:val="10"/>
                <w:lang w:val="en-GB" w:eastAsia="de-DE"/>
              </w:rPr>
              <w:t>etc.</w:t>
            </w:r>
            <w:r w:rsidRPr="00A21C90">
              <w:rPr>
                <w:rFonts w:eastAsia="Times New Roman" w:cstheme="minorHAnsi"/>
                <w:color w:val="000000"/>
                <w:sz w:val="10"/>
                <w:szCs w:val="10"/>
                <w:lang w:val="en-GB" w:eastAsia="de-DE"/>
              </w:rPr>
              <w:t>)</w:t>
            </w:r>
          </w:p>
        </w:tc>
      </w:tr>
      <w:tr w:rsidR="00A15687" w:rsidRPr="00172FA8" w14:paraId="66E215D0" w14:textId="77777777" w:rsidTr="00124BEF">
        <w:trPr>
          <w:trHeight w:val="67"/>
        </w:trPr>
        <w:tc>
          <w:tcPr>
            <w:tcW w:w="603" w:type="dxa"/>
            <w:shd w:val="clear" w:color="auto" w:fill="auto"/>
            <w:vAlign w:val="bottom"/>
            <w:hideMark/>
          </w:tcPr>
          <w:p w14:paraId="17FC83A2" w14:textId="0830D608"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Crowe</w:t>
            </w:r>
            <w:r w:rsidRPr="00172FA8">
              <w:rPr>
                <w:rFonts w:eastAsia="Times New Roman" w:cstheme="minorHAnsi"/>
                <w:color w:val="000000"/>
                <w:sz w:val="10"/>
                <w:szCs w:val="10"/>
                <w:lang w:val="en-GB" w:eastAsia="de-DE"/>
              </w:rPr>
              <w:t xml:space="preserve"> 1998</w:t>
            </w:r>
          </w:p>
        </w:tc>
        <w:tc>
          <w:tcPr>
            <w:tcW w:w="584" w:type="dxa"/>
            <w:shd w:val="clear" w:color="auto" w:fill="auto"/>
            <w:vAlign w:val="bottom"/>
            <w:hideMark/>
          </w:tcPr>
          <w:p w14:paraId="12469FC5"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telemedicine</w:t>
            </w:r>
          </w:p>
        </w:tc>
        <w:tc>
          <w:tcPr>
            <w:tcW w:w="509" w:type="dxa"/>
            <w:shd w:val="clear" w:color="auto" w:fill="auto"/>
            <w:vAlign w:val="bottom"/>
            <w:hideMark/>
          </w:tcPr>
          <w:p w14:paraId="3A6C113F"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Framework for cost assessment</w:t>
            </w:r>
          </w:p>
        </w:tc>
        <w:tc>
          <w:tcPr>
            <w:tcW w:w="2266" w:type="dxa"/>
            <w:shd w:val="clear" w:color="auto" w:fill="auto"/>
            <w:vAlign w:val="bottom"/>
            <w:hideMark/>
          </w:tcPr>
          <w:p w14:paraId="3D9F6933"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divergent opinions regarding the classification of costs; continuing changes in the price–performance ratio of equipment and related software; differences in costs for pilot projects vs. mature </w:t>
            </w:r>
            <w:proofErr w:type="gramStart"/>
            <w:r w:rsidRPr="00A21C90">
              <w:rPr>
                <w:rFonts w:eastAsia="Times New Roman" w:cstheme="minorHAnsi"/>
                <w:color w:val="000000"/>
                <w:sz w:val="10"/>
                <w:szCs w:val="10"/>
                <w:lang w:val="en-GB" w:eastAsia="de-DE"/>
              </w:rPr>
              <w:t>real life</w:t>
            </w:r>
            <w:proofErr w:type="gramEnd"/>
            <w:r w:rsidRPr="00A21C90">
              <w:rPr>
                <w:rFonts w:eastAsia="Times New Roman" w:cstheme="minorHAnsi"/>
                <w:color w:val="000000"/>
                <w:sz w:val="10"/>
                <w:szCs w:val="10"/>
                <w:lang w:val="en-GB" w:eastAsia="de-DE"/>
              </w:rPr>
              <w:t xml:space="preserve"> applications</w:t>
            </w:r>
          </w:p>
        </w:tc>
        <w:tc>
          <w:tcPr>
            <w:tcW w:w="711" w:type="dxa"/>
            <w:shd w:val="clear" w:color="auto" w:fill="auto"/>
            <w:vAlign w:val="bottom"/>
            <w:hideMark/>
          </w:tcPr>
          <w:p w14:paraId="2793961B"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1276" w:type="dxa"/>
            <w:shd w:val="clear" w:color="auto" w:fill="auto"/>
            <w:vAlign w:val="bottom"/>
            <w:hideMark/>
          </w:tcPr>
          <w:p w14:paraId="63F255B6"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709" w:type="dxa"/>
            <w:shd w:val="clear" w:color="auto" w:fill="auto"/>
            <w:vAlign w:val="bottom"/>
            <w:hideMark/>
          </w:tcPr>
          <w:p w14:paraId="62CF0108" w14:textId="7F9D187D" w:rsidR="00A15687" w:rsidRPr="00A21C90" w:rsidRDefault="00A15687" w:rsidP="00A21C90">
            <w:pPr>
              <w:rPr>
                <w:rFonts w:eastAsia="Times New Roman" w:cstheme="minorHAnsi"/>
                <w:color w:val="000000"/>
                <w:sz w:val="10"/>
                <w:szCs w:val="10"/>
                <w:lang w:val="en-GB" w:eastAsia="de-DE"/>
              </w:rPr>
            </w:pPr>
            <w:r>
              <w:rPr>
                <w:rFonts w:eastAsia="Times New Roman" w:cstheme="minorHAnsi"/>
                <w:color w:val="000000"/>
                <w:sz w:val="10"/>
                <w:szCs w:val="10"/>
                <w:lang w:val="en-GB" w:eastAsia="de-DE"/>
              </w:rPr>
              <w:t>n.m.</w:t>
            </w:r>
          </w:p>
        </w:tc>
        <w:tc>
          <w:tcPr>
            <w:tcW w:w="567" w:type="dxa"/>
            <w:shd w:val="clear" w:color="auto" w:fill="auto"/>
            <w:vAlign w:val="bottom"/>
            <w:hideMark/>
          </w:tcPr>
          <w:p w14:paraId="3A67688C" w14:textId="77777777" w:rsidR="00A15687" w:rsidRPr="00A21C90" w:rsidRDefault="00A15687" w:rsidP="00A21C90">
            <w:pPr>
              <w:rPr>
                <w:rFonts w:eastAsia="Times New Roman" w:cstheme="minorHAnsi"/>
                <w:sz w:val="10"/>
                <w:szCs w:val="10"/>
                <w:lang w:val="en-GB" w:eastAsia="de-DE"/>
              </w:rPr>
            </w:pPr>
          </w:p>
        </w:tc>
        <w:tc>
          <w:tcPr>
            <w:tcW w:w="1134" w:type="dxa"/>
            <w:shd w:val="clear" w:color="auto" w:fill="auto"/>
            <w:vAlign w:val="bottom"/>
            <w:hideMark/>
          </w:tcPr>
          <w:p w14:paraId="4632F897" w14:textId="77777777" w:rsidR="00A15687" w:rsidRPr="00A21C90" w:rsidRDefault="00A15687" w:rsidP="00A21C90">
            <w:pPr>
              <w:rPr>
                <w:rFonts w:eastAsia="Times New Roman" w:cstheme="minorHAnsi"/>
                <w:sz w:val="10"/>
                <w:szCs w:val="10"/>
                <w:lang w:val="en-GB" w:eastAsia="de-DE"/>
              </w:rPr>
            </w:pPr>
          </w:p>
        </w:tc>
        <w:tc>
          <w:tcPr>
            <w:tcW w:w="1842" w:type="dxa"/>
            <w:shd w:val="clear" w:color="auto" w:fill="auto"/>
            <w:vAlign w:val="bottom"/>
            <w:hideMark/>
          </w:tcPr>
          <w:p w14:paraId="2C778116" w14:textId="0D9951D9"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divergent opinions regarding the classification of costs; continuing changes in the price–performance ratio of equipment and related software; differences in costs for pilot projects vs. mature </w:t>
            </w:r>
            <w:r w:rsidR="00272640" w:rsidRPr="00A21C90">
              <w:rPr>
                <w:rFonts w:eastAsia="Times New Roman" w:cstheme="minorHAnsi"/>
                <w:color w:val="000000"/>
                <w:sz w:val="10"/>
                <w:szCs w:val="10"/>
                <w:lang w:val="en-GB" w:eastAsia="de-DE"/>
              </w:rPr>
              <w:t>real-life</w:t>
            </w:r>
            <w:r w:rsidRPr="00A21C90">
              <w:rPr>
                <w:rFonts w:eastAsia="Times New Roman" w:cstheme="minorHAnsi"/>
                <w:color w:val="000000"/>
                <w:sz w:val="10"/>
                <w:szCs w:val="10"/>
                <w:lang w:val="en-GB" w:eastAsia="de-DE"/>
              </w:rPr>
              <w:t xml:space="preserve"> application</w:t>
            </w:r>
          </w:p>
        </w:tc>
        <w:tc>
          <w:tcPr>
            <w:tcW w:w="709" w:type="dxa"/>
            <w:shd w:val="clear" w:color="auto" w:fill="auto"/>
            <w:vAlign w:val="bottom"/>
            <w:hideMark/>
          </w:tcPr>
          <w:p w14:paraId="7FA006B9" w14:textId="47B9A6B9" w:rsidR="00A15687" w:rsidRPr="00A21C90" w:rsidRDefault="00A15687" w:rsidP="00A21C90">
            <w:pPr>
              <w:rPr>
                <w:rFonts w:eastAsia="Times New Roman" w:cstheme="minorHAnsi"/>
                <w:color w:val="000000"/>
                <w:sz w:val="10"/>
                <w:szCs w:val="10"/>
                <w:lang w:val="en-GB" w:eastAsia="de-DE"/>
              </w:rPr>
            </w:pPr>
          </w:p>
        </w:tc>
        <w:tc>
          <w:tcPr>
            <w:tcW w:w="851" w:type="dxa"/>
            <w:shd w:val="clear" w:color="auto" w:fill="auto"/>
            <w:vAlign w:val="bottom"/>
            <w:hideMark/>
          </w:tcPr>
          <w:p w14:paraId="392EF054"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only costs considered</w:t>
            </w:r>
          </w:p>
        </w:tc>
        <w:tc>
          <w:tcPr>
            <w:tcW w:w="1559" w:type="dxa"/>
            <w:shd w:val="clear" w:color="auto" w:fill="auto"/>
            <w:vAlign w:val="bottom"/>
            <w:hideMark/>
          </w:tcPr>
          <w:p w14:paraId="58C68993"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only costs considered</w:t>
            </w:r>
          </w:p>
        </w:tc>
        <w:tc>
          <w:tcPr>
            <w:tcW w:w="1984" w:type="dxa"/>
            <w:shd w:val="clear" w:color="auto" w:fill="auto"/>
            <w:vAlign w:val="bottom"/>
            <w:hideMark/>
          </w:tcPr>
          <w:p w14:paraId="5398BC0B"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only costs considered</w:t>
            </w:r>
          </w:p>
        </w:tc>
      </w:tr>
      <w:tr w:rsidR="00A15687" w:rsidRPr="00172FA8" w14:paraId="40F0346C" w14:textId="77777777" w:rsidTr="00124BEF">
        <w:trPr>
          <w:trHeight w:val="536"/>
        </w:trPr>
        <w:tc>
          <w:tcPr>
            <w:tcW w:w="603" w:type="dxa"/>
            <w:shd w:val="clear" w:color="auto" w:fill="auto"/>
            <w:vAlign w:val="bottom"/>
            <w:hideMark/>
          </w:tcPr>
          <w:p w14:paraId="6425722D" w14:textId="4E6B690A" w:rsidR="00A15687" w:rsidRPr="00A21C90" w:rsidRDefault="00A15687" w:rsidP="00A21C90">
            <w:pPr>
              <w:rPr>
                <w:rFonts w:eastAsia="Times New Roman" w:cstheme="minorHAnsi"/>
                <w:color w:val="000000"/>
                <w:sz w:val="10"/>
                <w:szCs w:val="10"/>
                <w:lang w:val="en-GB" w:eastAsia="de-DE"/>
              </w:rPr>
            </w:pPr>
            <w:proofErr w:type="spellStart"/>
            <w:r w:rsidRPr="00A21C90">
              <w:rPr>
                <w:rFonts w:eastAsia="Times New Roman" w:cstheme="minorHAnsi"/>
                <w:color w:val="000000"/>
                <w:sz w:val="10"/>
                <w:szCs w:val="10"/>
                <w:lang w:val="en-GB" w:eastAsia="de-DE"/>
              </w:rPr>
              <w:t>Kolasa</w:t>
            </w:r>
            <w:proofErr w:type="spellEnd"/>
            <w:r w:rsidRPr="00A21C90">
              <w:rPr>
                <w:rFonts w:eastAsia="Times New Roman" w:cstheme="minorHAnsi"/>
                <w:color w:val="000000"/>
                <w:sz w:val="10"/>
                <w:szCs w:val="10"/>
                <w:lang w:val="en-GB" w:eastAsia="de-DE"/>
              </w:rPr>
              <w:t xml:space="preserve">; </w:t>
            </w:r>
            <w:proofErr w:type="spellStart"/>
            <w:r w:rsidRPr="00A21C90">
              <w:rPr>
                <w:rFonts w:eastAsia="Times New Roman" w:cstheme="minorHAnsi"/>
                <w:color w:val="000000"/>
                <w:sz w:val="10"/>
                <w:szCs w:val="10"/>
                <w:lang w:val="en-GB" w:eastAsia="de-DE"/>
              </w:rPr>
              <w:t>Kozinski</w:t>
            </w:r>
            <w:proofErr w:type="spellEnd"/>
            <w:r w:rsidRPr="00172FA8">
              <w:rPr>
                <w:rFonts w:eastAsia="Times New Roman" w:cstheme="minorHAnsi"/>
                <w:color w:val="000000"/>
                <w:sz w:val="10"/>
                <w:szCs w:val="10"/>
                <w:lang w:val="en-GB" w:eastAsia="de-DE"/>
              </w:rPr>
              <w:t xml:space="preserve"> 2020</w:t>
            </w:r>
          </w:p>
        </w:tc>
        <w:tc>
          <w:tcPr>
            <w:tcW w:w="584" w:type="dxa"/>
            <w:shd w:val="clear" w:color="auto" w:fill="auto"/>
            <w:vAlign w:val="bottom"/>
            <w:hideMark/>
          </w:tcPr>
          <w:p w14:paraId="0B8DF0E4" w14:textId="1E0FECB4"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digital health </w:t>
            </w:r>
            <w:r w:rsidR="00124BEF">
              <w:rPr>
                <w:rFonts w:eastAsia="Times New Roman" w:cstheme="minorHAnsi"/>
                <w:color w:val="000000"/>
                <w:sz w:val="10"/>
                <w:szCs w:val="10"/>
                <w:lang w:val="en-GB" w:eastAsia="de-DE"/>
              </w:rPr>
              <w:t>(</w:t>
            </w:r>
            <w:r w:rsidRPr="00A21C90">
              <w:rPr>
                <w:rFonts w:eastAsia="Times New Roman" w:cstheme="minorHAnsi"/>
                <w:color w:val="000000"/>
                <w:sz w:val="10"/>
                <w:szCs w:val="10"/>
                <w:lang w:val="en-GB" w:eastAsia="de-DE"/>
              </w:rPr>
              <w:t xml:space="preserve">telemedicine, mobile </w:t>
            </w:r>
            <w:r w:rsidR="00124BEF">
              <w:rPr>
                <w:rFonts w:eastAsia="Times New Roman" w:cstheme="minorHAnsi"/>
                <w:color w:val="000000"/>
                <w:sz w:val="10"/>
                <w:szCs w:val="10"/>
                <w:lang w:val="en-GB" w:eastAsia="de-DE"/>
              </w:rPr>
              <w:t>h</w:t>
            </w:r>
            <w:r w:rsidRPr="00A21C90">
              <w:rPr>
                <w:rFonts w:eastAsia="Times New Roman" w:cstheme="minorHAnsi"/>
                <w:color w:val="000000"/>
                <w:sz w:val="10"/>
                <w:szCs w:val="10"/>
                <w:lang w:val="en-GB" w:eastAsia="de-DE"/>
              </w:rPr>
              <w:t>ealth)</w:t>
            </w:r>
          </w:p>
        </w:tc>
        <w:tc>
          <w:tcPr>
            <w:tcW w:w="509" w:type="dxa"/>
            <w:shd w:val="clear" w:color="auto" w:fill="auto"/>
            <w:vAlign w:val="bottom"/>
            <w:hideMark/>
          </w:tcPr>
          <w:p w14:paraId="5F5F120C"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Review, Recommendations</w:t>
            </w:r>
          </w:p>
        </w:tc>
        <w:tc>
          <w:tcPr>
            <w:tcW w:w="2266" w:type="dxa"/>
            <w:shd w:val="clear" w:color="auto" w:fill="auto"/>
            <w:vAlign w:val="bottom"/>
            <w:hideMark/>
          </w:tcPr>
          <w:p w14:paraId="0D671D44" w14:textId="26E79A1C"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multidimensional impact of DHIs, determination of the appropriate alternative course of action, dependency on many context factors (including willingness to use by end-users, healthcare systems' capacity to benefit from the innovation)</w:t>
            </w:r>
          </w:p>
        </w:tc>
        <w:tc>
          <w:tcPr>
            <w:tcW w:w="711" w:type="dxa"/>
            <w:shd w:val="clear" w:color="auto" w:fill="auto"/>
            <w:vAlign w:val="bottom"/>
            <w:hideMark/>
          </w:tcPr>
          <w:p w14:paraId="47DA6ED4"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partially</w:t>
            </w:r>
          </w:p>
        </w:tc>
        <w:tc>
          <w:tcPr>
            <w:tcW w:w="1276" w:type="dxa"/>
            <w:shd w:val="clear" w:color="auto" w:fill="auto"/>
            <w:vAlign w:val="bottom"/>
            <w:hideMark/>
          </w:tcPr>
          <w:p w14:paraId="21DA8C8A"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MCDA</w:t>
            </w:r>
          </w:p>
        </w:tc>
        <w:tc>
          <w:tcPr>
            <w:tcW w:w="709" w:type="dxa"/>
            <w:shd w:val="clear" w:color="auto" w:fill="auto"/>
            <w:vAlign w:val="bottom"/>
            <w:hideMark/>
          </w:tcPr>
          <w:p w14:paraId="584E5596"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567" w:type="dxa"/>
            <w:shd w:val="clear" w:color="auto" w:fill="auto"/>
            <w:vAlign w:val="bottom"/>
            <w:hideMark/>
          </w:tcPr>
          <w:p w14:paraId="503631F5"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134" w:type="dxa"/>
            <w:shd w:val="clear" w:color="auto" w:fill="auto"/>
            <w:vAlign w:val="bottom"/>
            <w:hideMark/>
          </w:tcPr>
          <w:p w14:paraId="66CE9088"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multistakeholder-perspective</w:t>
            </w:r>
          </w:p>
        </w:tc>
        <w:tc>
          <w:tcPr>
            <w:tcW w:w="1842" w:type="dxa"/>
            <w:shd w:val="clear" w:color="auto" w:fill="auto"/>
            <w:vAlign w:val="bottom"/>
            <w:hideMark/>
          </w:tcPr>
          <w:p w14:paraId="1D8B9523"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infrastructure investments and disinvestments, effects of changes in clinical pathways have to be considered</w:t>
            </w:r>
          </w:p>
        </w:tc>
        <w:tc>
          <w:tcPr>
            <w:tcW w:w="709" w:type="dxa"/>
            <w:shd w:val="clear" w:color="auto" w:fill="auto"/>
            <w:vAlign w:val="bottom"/>
            <w:hideMark/>
          </w:tcPr>
          <w:p w14:paraId="0EE5307E"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multidimensional decision</w:t>
            </w:r>
          </w:p>
        </w:tc>
        <w:tc>
          <w:tcPr>
            <w:tcW w:w="851" w:type="dxa"/>
            <w:shd w:val="clear" w:color="auto" w:fill="auto"/>
            <w:vAlign w:val="bottom"/>
            <w:hideMark/>
          </w:tcPr>
          <w:p w14:paraId="0981FDE9"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559" w:type="dxa"/>
            <w:shd w:val="clear" w:color="auto" w:fill="auto"/>
            <w:vAlign w:val="bottom"/>
            <w:hideMark/>
          </w:tcPr>
          <w:p w14:paraId="5AF68698"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multiple dimensions have to be considered</w:t>
            </w:r>
          </w:p>
        </w:tc>
        <w:tc>
          <w:tcPr>
            <w:tcW w:w="1984" w:type="dxa"/>
            <w:shd w:val="clear" w:color="auto" w:fill="auto"/>
            <w:vAlign w:val="bottom"/>
            <w:hideMark/>
          </w:tcPr>
          <w:p w14:paraId="3E9662D7" w14:textId="7243A0A6"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clinical, organizational, </w:t>
            </w:r>
            <w:r w:rsidR="00C71A7C" w:rsidRPr="00A21C90">
              <w:rPr>
                <w:rFonts w:eastAsia="Times New Roman" w:cstheme="minorHAnsi"/>
                <w:color w:val="000000"/>
                <w:sz w:val="10"/>
                <w:szCs w:val="10"/>
                <w:lang w:val="en-GB" w:eastAsia="de-DE"/>
              </w:rPr>
              <w:t>behavioural</w:t>
            </w:r>
            <w:r w:rsidRPr="00A21C90">
              <w:rPr>
                <w:rFonts w:eastAsia="Times New Roman" w:cstheme="minorHAnsi"/>
                <w:color w:val="000000"/>
                <w:sz w:val="10"/>
                <w:szCs w:val="10"/>
                <w:lang w:val="en-GB" w:eastAsia="de-DE"/>
              </w:rPr>
              <w:t xml:space="preserve"> and technical impacts</w:t>
            </w:r>
          </w:p>
        </w:tc>
      </w:tr>
      <w:tr w:rsidR="00A15687" w:rsidRPr="00172FA8" w14:paraId="415D0020" w14:textId="77777777" w:rsidTr="00124BEF">
        <w:trPr>
          <w:trHeight w:val="945"/>
        </w:trPr>
        <w:tc>
          <w:tcPr>
            <w:tcW w:w="603" w:type="dxa"/>
            <w:shd w:val="clear" w:color="auto" w:fill="auto"/>
            <w:vAlign w:val="bottom"/>
            <w:hideMark/>
          </w:tcPr>
          <w:p w14:paraId="65392931" w14:textId="2FCB7FE5" w:rsidR="00A15687" w:rsidRPr="00A21C90" w:rsidRDefault="00A15687" w:rsidP="00A21C90">
            <w:pPr>
              <w:rPr>
                <w:rFonts w:eastAsia="Times New Roman" w:cstheme="minorHAnsi"/>
                <w:color w:val="000000"/>
                <w:sz w:val="10"/>
                <w:szCs w:val="10"/>
                <w:lang w:val="en-GB" w:eastAsia="de-DE"/>
              </w:rPr>
            </w:pPr>
            <w:proofErr w:type="spellStart"/>
            <w:r w:rsidRPr="00A21C90">
              <w:rPr>
                <w:rFonts w:eastAsia="Times New Roman" w:cstheme="minorHAnsi"/>
                <w:color w:val="000000"/>
                <w:sz w:val="10"/>
                <w:szCs w:val="10"/>
                <w:lang w:val="en-GB" w:eastAsia="de-DE"/>
              </w:rPr>
              <w:t>Lobley</w:t>
            </w:r>
            <w:proofErr w:type="spellEnd"/>
            <w:r w:rsidRPr="00172FA8">
              <w:rPr>
                <w:rFonts w:eastAsia="Times New Roman" w:cstheme="minorHAnsi"/>
                <w:color w:val="000000"/>
                <w:sz w:val="10"/>
                <w:szCs w:val="10"/>
                <w:lang w:val="en-GB" w:eastAsia="de-DE"/>
              </w:rPr>
              <w:t xml:space="preserve"> 1997</w:t>
            </w:r>
          </w:p>
        </w:tc>
        <w:tc>
          <w:tcPr>
            <w:tcW w:w="584" w:type="dxa"/>
            <w:shd w:val="clear" w:color="auto" w:fill="auto"/>
            <w:vAlign w:val="bottom"/>
            <w:hideMark/>
          </w:tcPr>
          <w:p w14:paraId="1B0EB9D5"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telemedicine</w:t>
            </w:r>
          </w:p>
        </w:tc>
        <w:tc>
          <w:tcPr>
            <w:tcW w:w="509" w:type="dxa"/>
            <w:shd w:val="clear" w:color="auto" w:fill="auto"/>
            <w:vAlign w:val="bottom"/>
            <w:hideMark/>
          </w:tcPr>
          <w:p w14:paraId="1EFBCE16"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Discussion</w:t>
            </w:r>
          </w:p>
        </w:tc>
        <w:tc>
          <w:tcPr>
            <w:tcW w:w="2266" w:type="dxa"/>
            <w:shd w:val="clear" w:color="auto" w:fill="auto"/>
            <w:vAlign w:val="bottom"/>
            <w:hideMark/>
          </w:tcPr>
          <w:p w14:paraId="12285745" w14:textId="20BE9242"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Effects are difficult to analyse as the introduction of telemedicine might change working patterns and cause structural changes in the medical field, costs are dependent on the uptake which is difficult to foresee and w</w:t>
            </w:r>
            <w:r w:rsidR="00124BEF">
              <w:rPr>
                <w:rFonts w:eastAsia="Times New Roman" w:cstheme="minorHAnsi"/>
                <w:color w:val="000000"/>
                <w:sz w:val="10"/>
                <w:szCs w:val="10"/>
                <w:lang w:val="en-GB" w:eastAsia="de-DE"/>
              </w:rPr>
              <w:t>i</w:t>
            </w:r>
            <w:r w:rsidRPr="00A21C90">
              <w:rPr>
                <w:rFonts w:eastAsia="Times New Roman" w:cstheme="minorHAnsi"/>
                <w:color w:val="000000"/>
                <w:sz w:val="10"/>
                <w:szCs w:val="10"/>
                <w:lang w:val="en-GB" w:eastAsia="de-DE"/>
              </w:rPr>
              <w:t>ll be dependent on reimbursement schemes. Knowledge gained in "telemedicine experiments" is difficult to transfer to real life settings; some of the benefits are difficult to quantify</w:t>
            </w:r>
          </w:p>
        </w:tc>
        <w:tc>
          <w:tcPr>
            <w:tcW w:w="711" w:type="dxa"/>
            <w:shd w:val="clear" w:color="auto" w:fill="auto"/>
            <w:vAlign w:val="bottom"/>
            <w:hideMark/>
          </w:tcPr>
          <w:p w14:paraId="30A89A14"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not discussed</w:t>
            </w:r>
          </w:p>
        </w:tc>
        <w:tc>
          <w:tcPr>
            <w:tcW w:w="1276" w:type="dxa"/>
            <w:shd w:val="clear" w:color="auto" w:fill="auto"/>
            <w:vAlign w:val="bottom"/>
            <w:hideMark/>
          </w:tcPr>
          <w:p w14:paraId="4F2BCAF4"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709" w:type="dxa"/>
            <w:shd w:val="clear" w:color="auto" w:fill="auto"/>
            <w:vAlign w:val="bottom"/>
            <w:hideMark/>
          </w:tcPr>
          <w:p w14:paraId="5E15DCBD"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567" w:type="dxa"/>
            <w:shd w:val="clear" w:color="auto" w:fill="auto"/>
            <w:vAlign w:val="bottom"/>
            <w:hideMark/>
          </w:tcPr>
          <w:p w14:paraId="07C2204C"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134" w:type="dxa"/>
            <w:shd w:val="clear" w:color="auto" w:fill="auto"/>
            <w:vAlign w:val="bottom"/>
            <w:hideMark/>
          </w:tcPr>
          <w:p w14:paraId="4D6B4E01"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multistakeholder-perspective (differentiated by the different parties involved)</w:t>
            </w:r>
          </w:p>
        </w:tc>
        <w:tc>
          <w:tcPr>
            <w:tcW w:w="1842" w:type="dxa"/>
            <w:shd w:val="clear" w:color="auto" w:fill="auto"/>
            <w:vAlign w:val="bottom"/>
            <w:hideMark/>
          </w:tcPr>
          <w:p w14:paraId="289C4B31"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depreciation periods are short, unit costs are highly dependent on the number of consultations, large variety of potential savings; cost and cost-savings may fall in different budgets</w:t>
            </w:r>
          </w:p>
        </w:tc>
        <w:tc>
          <w:tcPr>
            <w:tcW w:w="709" w:type="dxa"/>
            <w:shd w:val="clear" w:color="auto" w:fill="auto"/>
            <w:vAlign w:val="bottom"/>
            <w:hideMark/>
          </w:tcPr>
          <w:p w14:paraId="0EFD4D94"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diverse possible benefits considered</w:t>
            </w:r>
          </w:p>
        </w:tc>
        <w:tc>
          <w:tcPr>
            <w:tcW w:w="851" w:type="dxa"/>
            <w:shd w:val="clear" w:color="auto" w:fill="auto"/>
            <w:vAlign w:val="bottom"/>
            <w:hideMark/>
          </w:tcPr>
          <w:p w14:paraId="2695D1C7"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1559" w:type="dxa"/>
            <w:shd w:val="clear" w:color="auto" w:fill="auto"/>
            <w:vAlign w:val="bottom"/>
            <w:hideMark/>
          </w:tcPr>
          <w:p w14:paraId="5C9D7CCF"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Diverse possible benefits, some of the benefits are difficult to quantify.</w:t>
            </w:r>
          </w:p>
        </w:tc>
        <w:tc>
          <w:tcPr>
            <w:tcW w:w="1984" w:type="dxa"/>
            <w:shd w:val="clear" w:color="auto" w:fill="auto"/>
            <w:vAlign w:val="bottom"/>
            <w:hideMark/>
          </w:tcPr>
          <w:p w14:paraId="20C9EFE9" w14:textId="1B94CA64" w:rsidR="00A15687" w:rsidRPr="00A21C90" w:rsidRDefault="00A15687" w:rsidP="00A21C90">
            <w:pPr>
              <w:rPr>
                <w:rFonts w:eastAsia="Times New Roman" w:cstheme="minorHAnsi"/>
                <w:color w:val="000000"/>
                <w:sz w:val="10"/>
                <w:szCs w:val="10"/>
                <w:lang w:val="en-GB" w:eastAsia="de-DE"/>
              </w:rPr>
            </w:pPr>
            <w:proofErr w:type="gramStart"/>
            <w:r w:rsidRPr="00A21C90">
              <w:rPr>
                <w:rFonts w:eastAsia="Times New Roman" w:cstheme="minorHAnsi"/>
                <w:color w:val="000000"/>
                <w:sz w:val="10"/>
                <w:szCs w:val="10"/>
                <w:lang w:val="en-GB" w:eastAsia="de-DE"/>
              </w:rPr>
              <w:t>i.e.</w:t>
            </w:r>
            <w:proofErr w:type="gramEnd"/>
            <w:r w:rsidRPr="00A21C90">
              <w:rPr>
                <w:rFonts w:eastAsia="Times New Roman" w:cstheme="minorHAnsi"/>
                <w:color w:val="000000"/>
                <w:sz w:val="10"/>
                <w:szCs w:val="10"/>
                <w:lang w:val="en-GB" w:eastAsia="de-DE"/>
              </w:rPr>
              <w:t xml:space="preserve"> improved treatment, faster/more accurate diagnosis, reduced need for pat</w:t>
            </w:r>
            <w:r w:rsidR="00C71A7C">
              <w:rPr>
                <w:rFonts w:eastAsia="Times New Roman" w:cstheme="minorHAnsi"/>
                <w:color w:val="000000"/>
                <w:sz w:val="10"/>
                <w:szCs w:val="10"/>
                <w:lang w:val="en-GB" w:eastAsia="de-DE"/>
              </w:rPr>
              <w:t>i</w:t>
            </w:r>
            <w:r w:rsidRPr="00A21C90">
              <w:rPr>
                <w:rFonts w:eastAsia="Times New Roman" w:cstheme="minorHAnsi"/>
                <w:color w:val="000000"/>
                <w:sz w:val="10"/>
                <w:szCs w:val="10"/>
                <w:lang w:val="en-GB" w:eastAsia="de-DE"/>
              </w:rPr>
              <w:t>ent referral, improved training and education, reduced disruption to patients through reduced travel, reduced need for specialist consultation due to knowledge transfer etc.</w:t>
            </w:r>
          </w:p>
        </w:tc>
      </w:tr>
      <w:tr w:rsidR="00A15687" w:rsidRPr="00172FA8" w14:paraId="553254CD" w14:textId="77777777" w:rsidTr="00124BEF">
        <w:trPr>
          <w:trHeight w:val="801"/>
        </w:trPr>
        <w:tc>
          <w:tcPr>
            <w:tcW w:w="603" w:type="dxa"/>
            <w:shd w:val="clear" w:color="auto" w:fill="auto"/>
            <w:vAlign w:val="bottom"/>
            <w:hideMark/>
          </w:tcPr>
          <w:p w14:paraId="0A35B5F7" w14:textId="2CF635C1"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Luxton</w:t>
            </w:r>
            <w:r w:rsidRPr="00172FA8">
              <w:rPr>
                <w:rFonts w:eastAsia="Times New Roman" w:cstheme="minorHAnsi"/>
                <w:color w:val="000000"/>
                <w:sz w:val="10"/>
                <w:szCs w:val="10"/>
                <w:lang w:val="en-GB" w:eastAsia="de-DE"/>
              </w:rPr>
              <w:t xml:space="preserve"> 2013</w:t>
            </w:r>
          </w:p>
        </w:tc>
        <w:tc>
          <w:tcPr>
            <w:tcW w:w="584" w:type="dxa"/>
            <w:shd w:val="clear" w:color="auto" w:fill="auto"/>
            <w:vAlign w:val="bottom"/>
            <w:hideMark/>
          </w:tcPr>
          <w:p w14:paraId="445DC2EA" w14:textId="762D999F" w:rsidR="00A15687" w:rsidRPr="00A21C90" w:rsidRDefault="0070689B"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T</w:t>
            </w:r>
            <w:r w:rsidR="00A15687" w:rsidRPr="00A21C90">
              <w:rPr>
                <w:rFonts w:eastAsia="Times New Roman" w:cstheme="minorHAnsi"/>
                <w:color w:val="000000"/>
                <w:sz w:val="10"/>
                <w:szCs w:val="10"/>
                <w:lang w:val="en-GB" w:eastAsia="de-DE"/>
              </w:rPr>
              <w:t>ele</w:t>
            </w:r>
            <w:r>
              <w:rPr>
                <w:rFonts w:eastAsia="Times New Roman" w:cstheme="minorHAnsi"/>
                <w:color w:val="000000"/>
                <w:sz w:val="10"/>
                <w:szCs w:val="10"/>
                <w:lang w:val="en-GB" w:eastAsia="de-DE"/>
              </w:rPr>
              <w:t>-</w:t>
            </w:r>
            <w:r w:rsidR="00A15687" w:rsidRPr="00A21C90">
              <w:rPr>
                <w:rFonts w:eastAsia="Times New Roman" w:cstheme="minorHAnsi"/>
                <w:color w:val="000000"/>
                <w:sz w:val="10"/>
                <w:szCs w:val="10"/>
                <w:lang w:val="en-GB" w:eastAsia="de-DE"/>
              </w:rPr>
              <w:t>mental health</w:t>
            </w:r>
          </w:p>
        </w:tc>
        <w:tc>
          <w:tcPr>
            <w:tcW w:w="509" w:type="dxa"/>
            <w:shd w:val="clear" w:color="auto" w:fill="auto"/>
            <w:vAlign w:val="bottom"/>
            <w:hideMark/>
          </w:tcPr>
          <w:p w14:paraId="5C0B54BC"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Discussion</w:t>
            </w:r>
          </w:p>
        </w:tc>
        <w:tc>
          <w:tcPr>
            <w:tcW w:w="2266" w:type="dxa"/>
            <w:shd w:val="clear" w:color="auto" w:fill="auto"/>
            <w:vAlign w:val="bottom"/>
            <w:hideMark/>
          </w:tcPr>
          <w:p w14:paraId="0EF3603F" w14:textId="08CD6E2A"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complex cost factors and uncertainties that are associated with aspects of healthcare delivery and technology, rapidly evolving technology; high context-sensitivity, missing guidelines and </w:t>
            </w:r>
            <w:r w:rsidR="00C71A7C" w:rsidRPr="00A21C90">
              <w:rPr>
                <w:rFonts w:eastAsia="Times New Roman" w:cstheme="minorHAnsi"/>
                <w:color w:val="000000"/>
                <w:sz w:val="10"/>
                <w:szCs w:val="10"/>
                <w:lang w:val="en-GB" w:eastAsia="de-DE"/>
              </w:rPr>
              <w:t>standardized</w:t>
            </w:r>
            <w:r w:rsidRPr="00A21C90">
              <w:rPr>
                <w:rFonts w:eastAsia="Times New Roman" w:cstheme="minorHAnsi"/>
                <w:color w:val="000000"/>
                <w:sz w:val="10"/>
                <w:szCs w:val="10"/>
                <w:lang w:val="en-GB" w:eastAsia="de-DE"/>
              </w:rPr>
              <w:t xml:space="preserve"> measures for costs and benefits</w:t>
            </w:r>
          </w:p>
        </w:tc>
        <w:tc>
          <w:tcPr>
            <w:tcW w:w="711" w:type="dxa"/>
            <w:shd w:val="clear" w:color="auto" w:fill="auto"/>
            <w:vAlign w:val="bottom"/>
            <w:hideMark/>
          </w:tcPr>
          <w:p w14:paraId="29C01287"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276" w:type="dxa"/>
            <w:shd w:val="clear" w:color="auto" w:fill="auto"/>
            <w:vAlign w:val="bottom"/>
            <w:hideMark/>
          </w:tcPr>
          <w:p w14:paraId="48937D04" w14:textId="43D21A1B"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CEA, CUA, CBA, CMA, uncertainties should be </w:t>
            </w:r>
            <w:r w:rsidR="00C71A7C" w:rsidRPr="00A21C90">
              <w:rPr>
                <w:rFonts w:eastAsia="Times New Roman" w:cstheme="minorHAnsi"/>
                <w:color w:val="000000"/>
                <w:sz w:val="10"/>
                <w:szCs w:val="10"/>
                <w:lang w:val="en-GB" w:eastAsia="de-DE"/>
              </w:rPr>
              <w:t>addressed</w:t>
            </w:r>
            <w:r w:rsidRPr="00A21C90">
              <w:rPr>
                <w:rFonts w:eastAsia="Times New Roman" w:cstheme="minorHAnsi"/>
                <w:color w:val="000000"/>
                <w:sz w:val="10"/>
                <w:szCs w:val="10"/>
                <w:lang w:val="en-GB" w:eastAsia="de-DE"/>
              </w:rPr>
              <w:t xml:space="preserve"> in sensitivity analyses</w:t>
            </w:r>
          </w:p>
        </w:tc>
        <w:tc>
          <w:tcPr>
            <w:tcW w:w="709" w:type="dxa"/>
            <w:shd w:val="clear" w:color="auto" w:fill="auto"/>
            <w:vAlign w:val="bottom"/>
            <w:hideMark/>
          </w:tcPr>
          <w:p w14:paraId="5D2FD03A"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567" w:type="dxa"/>
            <w:shd w:val="clear" w:color="auto" w:fill="auto"/>
            <w:vAlign w:val="bottom"/>
            <w:hideMark/>
          </w:tcPr>
          <w:p w14:paraId="0E542FBE"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134" w:type="dxa"/>
            <w:shd w:val="clear" w:color="auto" w:fill="auto"/>
            <w:vAlign w:val="bottom"/>
            <w:hideMark/>
          </w:tcPr>
          <w:p w14:paraId="0F09B06C"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should be clearly stated</w:t>
            </w:r>
          </w:p>
        </w:tc>
        <w:tc>
          <w:tcPr>
            <w:tcW w:w="1842" w:type="dxa"/>
            <w:shd w:val="clear" w:color="auto" w:fill="auto"/>
            <w:vAlign w:val="bottom"/>
            <w:hideMark/>
          </w:tcPr>
          <w:p w14:paraId="01C1E286"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utilization rates of the equipment influence the offset of the costs; equipment may be used by other applications as well</w:t>
            </w:r>
          </w:p>
        </w:tc>
        <w:tc>
          <w:tcPr>
            <w:tcW w:w="709" w:type="dxa"/>
            <w:shd w:val="clear" w:color="auto" w:fill="auto"/>
            <w:vAlign w:val="bottom"/>
            <w:hideMark/>
          </w:tcPr>
          <w:p w14:paraId="061BE681" w14:textId="383DCFBD" w:rsidR="00A15687" w:rsidRPr="00A21C90" w:rsidRDefault="00A15687" w:rsidP="00A21C90">
            <w:pPr>
              <w:rPr>
                <w:rFonts w:eastAsia="Times New Roman" w:cstheme="minorHAnsi"/>
                <w:color w:val="000000"/>
                <w:sz w:val="10"/>
                <w:szCs w:val="10"/>
                <w:lang w:val="en-GB" w:eastAsia="de-DE"/>
              </w:rPr>
            </w:pPr>
          </w:p>
        </w:tc>
        <w:tc>
          <w:tcPr>
            <w:tcW w:w="851" w:type="dxa"/>
            <w:shd w:val="clear" w:color="auto" w:fill="auto"/>
            <w:vAlign w:val="bottom"/>
            <w:hideMark/>
          </w:tcPr>
          <w:p w14:paraId="7766A2B4" w14:textId="51CF2113" w:rsidR="00A15687" w:rsidRPr="00A21C90" w:rsidRDefault="00124BEF" w:rsidP="00A21C90">
            <w:pPr>
              <w:rPr>
                <w:rFonts w:eastAsia="Times New Roman" w:cstheme="minorHAnsi"/>
                <w:color w:val="000000"/>
                <w:sz w:val="10"/>
                <w:szCs w:val="10"/>
                <w:lang w:val="en-GB" w:eastAsia="de-DE"/>
              </w:rPr>
            </w:pPr>
            <w:r>
              <w:rPr>
                <w:rFonts w:eastAsia="Times New Roman" w:cstheme="minorHAnsi"/>
                <w:color w:val="000000"/>
                <w:sz w:val="10"/>
                <w:szCs w:val="10"/>
                <w:lang w:val="en-GB" w:eastAsia="de-DE"/>
              </w:rPr>
              <w:t>yes</w:t>
            </w:r>
          </w:p>
        </w:tc>
        <w:tc>
          <w:tcPr>
            <w:tcW w:w="1559" w:type="dxa"/>
            <w:shd w:val="clear" w:color="auto" w:fill="auto"/>
            <w:vAlign w:val="bottom"/>
            <w:hideMark/>
          </w:tcPr>
          <w:p w14:paraId="377CBAEF" w14:textId="7B6423B5"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lack of agreed-on outcomes and standardized measures for THM</w:t>
            </w:r>
            <w:r w:rsidR="00124BEF">
              <w:rPr>
                <w:rFonts w:eastAsia="Times New Roman" w:cstheme="minorHAnsi"/>
                <w:color w:val="000000"/>
                <w:sz w:val="10"/>
                <w:szCs w:val="10"/>
                <w:lang w:val="en-GB" w:eastAsia="de-DE"/>
              </w:rPr>
              <w:t xml:space="preserve">; </w:t>
            </w:r>
            <w:r w:rsidR="00124BEF" w:rsidRPr="00A21C90">
              <w:rPr>
                <w:rFonts w:eastAsia="Times New Roman" w:cstheme="minorHAnsi"/>
                <w:color w:val="000000"/>
                <w:sz w:val="10"/>
                <w:szCs w:val="10"/>
                <w:lang w:val="en-GB" w:eastAsia="de-DE"/>
              </w:rPr>
              <w:t>Standardized outcomes are needed that include clinical outcomes as well as other factors such as patient compliance and treatment satisfaction</w:t>
            </w:r>
          </w:p>
        </w:tc>
        <w:tc>
          <w:tcPr>
            <w:tcW w:w="1984" w:type="dxa"/>
            <w:shd w:val="clear" w:color="auto" w:fill="auto"/>
            <w:vAlign w:val="bottom"/>
            <w:hideMark/>
          </w:tcPr>
          <w:p w14:paraId="471C2E94"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primary outcome: health related quality of life</w:t>
            </w:r>
          </w:p>
        </w:tc>
      </w:tr>
      <w:tr w:rsidR="00A15687" w:rsidRPr="00172FA8" w14:paraId="622E2F4D" w14:textId="77777777" w:rsidTr="00124BEF">
        <w:trPr>
          <w:trHeight w:val="620"/>
        </w:trPr>
        <w:tc>
          <w:tcPr>
            <w:tcW w:w="603" w:type="dxa"/>
            <w:shd w:val="clear" w:color="auto" w:fill="auto"/>
            <w:vAlign w:val="bottom"/>
            <w:hideMark/>
          </w:tcPr>
          <w:p w14:paraId="297FD3FA" w14:textId="61D4F7CF" w:rsidR="00A15687" w:rsidRPr="00A21C90" w:rsidRDefault="00A15687" w:rsidP="00A21C90">
            <w:pPr>
              <w:rPr>
                <w:rFonts w:eastAsia="Times New Roman" w:cstheme="minorHAnsi"/>
                <w:color w:val="000000"/>
                <w:sz w:val="10"/>
                <w:szCs w:val="10"/>
                <w:lang w:val="en-GB" w:eastAsia="de-DE"/>
              </w:rPr>
            </w:pPr>
            <w:proofErr w:type="spellStart"/>
            <w:r w:rsidRPr="00A21C90">
              <w:rPr>
                <w:rFonts w:eastAsia="Times New Roman" w:cstheme="minorHAnsi"/>
                <w:color w:val="000000"/>
                <w:sz w:val="10"/>
                <w:szCs w:val="10"/>
                <w:lang w:val="en-GB" w:eastAsia="de-DE"/>
              </w:rPr>
              <w:t>Luzi</w:t>
            </w:r>
            <w:proofErr w:type="spellEnd"/>
            <w:r w:rsidRPr="00A21C90">
              <w:rPr>
                <w:rFonts w:eastAsia="Times New Roman" w:cstheme="minorHAnsi"/>
                <w:color w:val="000000"/>
                <w:sz w:val="10"/>
                <w:szCs w:val="10"/>
                <w:lang w:val="en-GB" w:eastAsia="de-DE"/>
              </w:rPr>
              <w:t xml:space="preserve">; Pecoraro; </w:t>
            </w:r>
            <w:proofErr w:type="spellStart"/>
            <w:r w:rsidRPr="00A21C90">
              <w:rPr>
                <w:rFonts w:eastAsia="Times New Roman" w:cstheme="minorHAnsi"/>
                <w:color w:val="000000"/>
                <w:sz w:val="10"/>
                <w:szCs w:val="10"/>
                <w:lang w:val="en-GB" w:eastAsia="de-DE"/>
              </w:rPr>
              <w:t>Tamburis</w:t>
            </w:r>
            <w:proofErr w:type="spellEnd"/>
            <w:r w:rsidRPr="00172FA8">
              <w:rPr>
                <w:rFonts w:eastAsia="Times New Roman" w:cstheme="minorHAnsi"/>
                <w:color w:val="000000"/>
                <w:sz w:val="10"/>
                <w:szCs w:val="10"/>
                <w:lang w:val="en-GB" w:eastAsia="de-DE"/>
              </w:rPr>
              <w:t xml:space="preserve"> 2016</w:t>
            </w:r>
          </w:p>
        </w:tc>
        <w:tc>
          <w:tcPr>
            <w:tcW w:w="584" w:type="dxa"/>
            <w:shd w:val="clear" w:color="auto" w:fill="auto"/>
            <w:vAlign w:val="bottom"/>
            <w:hideMark/>
          </w:tcPr>
          <w:p w14:paraId="65FFFF1D"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health information technology</w:t>
            </w:r>
          </w:p>
        </w:tc>
        <w:tc>
          <w:tcPr>
            <w:tcW w:w="509" w:type="dxa"/>
            <w:shd w:val="clear" w:color="auto" w:fill="auto"/>
            <w:vAlign w:val="bottom"/>
            <w:hideMark/>
          </w:tcPr>
          <w:p w14:paraId="28EAE94F" w14:textId="105762C9" w:rsidR="00A15687" w:rsidRPr="00A21C90" w:rsidRDefault="00272640" w:rsidP="00A21C90">
            <w:pPr>
              <w:rPr>
                <w:rFonts w:eastAsia="Times New Roman" w:cstheme="minorHAnsi"/>
                <w:color w:val="000000"/>
                <w:sz w:val="10"/>
                <w:szCs w:val="10"/>
                <w:lang w:val="en-GB" w:eastAsia="de-DE"/>
              </w:rPr>
            </w:pPr>
            <w:r>
              <w:rPr>
                <w:rFonts w:eastAsia="Times New Roman" w:cstheme="minorHAnsi"/>
                <w:color w:val="000000"/>
                <w:sz w:val="10"/>
                <w:szCs w:val="10"/>
                <w:lang w:val="en-GB" w:eastAsia="de-DE"/>
              </w:rPr>
              <w:t>Tutorial</w:t>
            </w:r>
          </w:p>
        </w:tc>
        <w:tc>
          <w:tcPr>
            <w:tcW w:w="2266" w:type="dxa"/>
            <w:shd w:val="clear" w:color="auto" w:fill="auto"/>
            <w:vAlign w:val="bottom"/>
            <w:hideMark/>
          </w:tcPr>
          <w:p w14:paraId="64E1BC69" w14:textId="2AD2EF02"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health IT supports care processes (diagnostic, treatment/therapy, nursing) and auxiliary processes (i.e. appointing making, documentation), causal relations are difficult to determine and measure; </w:t>
            </w:r>
            <w:r w:rsidRPr="00A21C90">
              <w:rPr>
                <w:rFonts w:eastAsia="Times New Roman" w:cstheme="minorHAnsi"/>
                <w:color w:val="000000"/>
                <w:sz w:val="10"/>
                <w:szCs w:val="10"/>
                <w:lang w:val="en-GB" w:eastAsia="de-DE"/>
              </w:rPr>
              <w:br/>
              <w:t xml:space="preserve">difficult identification of costs; incremental development of many health IT solutions; locally adjusted implementations; measurement of benefits that depend on how the system is used, the organization and medical context and aspects of the national health system; outcomes have to be measured in terms of changes in the health care and management processes (as they not directly </w:t>
            </w:r>
            <w:r w:rsidR="00C71A7C">
              <w:rPr>
                <w:rFonts w:eastAsia="Times New Roman" w:cstheme="minorHAnsi"/>
                <w:color w:val="000000"/>
                <w:sz w:val="10"/>
                <w:szCs w:val="10"/>
                <w:lang w:val="en-GB" w:eastAsia="de-DE"/>
              </w:rPr>
              <w:t>a</w:t>
            </w:r>
            <w:r w:rsidRPr="00A21C90">
              <w:rPr>
                <w:rFonts w:eastAsia="Times New Roman" w:cstheme="minorHAnsi"/>
                <w:color w:val="000000"/>
                <w:sz w:val="10"/>
                <w:szCs w:val="10"/>
                <w:lang w:val="en-GB" w:eastAsia="de-DE"/>
              </w:rPr>
              <w:t>ffect health states)</w:t>
            </w:r>
          </w:p>
        </w:tc>
        <w:tc>
          <w:tcPr>
            <w:tcW w:w="711" w:type="dxa"/>
            <w:shd w:val="clear" w:color="auto" w:fill="auto"/>
            <w:vAlign w:val="bottom"/>
            <w:hideMark/>
          </w:tcPr>
          <w:p w14:paraId="4305EA60"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276" w:type="dxa"/>
            <w:shd w:val="clear" w:color="auto" w:fill="auto"/>
            <w:vAlign w:val="bottom"/>
            <w:hideMark/>
          </w:tcPr>
          <w:p w14:paraId="54FD43BC"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CEA, CUA, CBA, CMA, CCA, depending on research questions, viewpoint of decision maker </w:t>
            </w:r>
            <w:proofErr w:type="gramStart"/>
            <w:r w:rsidRPr="00A21C90">
              <w:rPr>
                <w:rFonts w:eastAsia="Times New Roman" w:cstheme="minorHAnsi"/>
                <w:color w:val="000000"/>
                <w:sz w:val="10"/>
                <w:szCs w:val="10"/>
                <w:lang w:val="en-GB" w:eastAsia="de-DE"/>
              </w:rPr>
              <w:t>an</w:t>
            </w:r>
            <w:proofErr w:type="gramEnd"/>
            <w:r w:rsidRPr="00A21C90">
              <w:rPr>
                <w:rFonts w:eastAsia="Times New Roman" w:cstheme="minorHAnsi"/>
                <w:color w:val="000000"/>
                <w:sz w:val="10"/>
                <w:szCs w:val="10"/>
                <w:lang w:val="en-GB" w:eastAsia="de-DE"/>
              </w:rPr>
              <w:t xml:space="preserve"> data availability</w:t>
            </w:r>
          </w:p>
        </w:tc>
        <w:tc>
          <w:tcPr>
            <w:tcW w:w="709" w:type="dxa"/>
            <w:shd w:val="clear" w:color="auto" w:fill="auto"/>
            <w:vAlign w:val="bottom"/>
            <w:hideMark/>
          </w:tcPr>
          <w:p w14:paraId="131C5B7E"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partially</w:t>
            </w:r>
          </w:p>
        </w:tc>
        <w:tc>
          <w:tcPr>
            <w:tcW w:w="567" w:type="dxa"/>
            <w:shd w:val="clear" w:color="auto" w:fill="auto"/>
            <w:vAlign w:val="bottom"/>
            <w:hideMark/>
          </w:tcPr>
          <w:p w14:paraId="41EE9C3B"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134" w:type="dxa"/>
            <w:shd w:val="clear" w:color="auto" w:fill="auto"/>
            <w:vAlign w:val="bottom"/>
            <w:hideMark/>
          </w:tcPr>
          <w:p w14:paraId="7DC880D2"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depends on research question</w:t>
            </w:r>
          </w:p>
        </w:tc>
        <w:tc>
          <w:tcPr>
            <w:tcW w:w="1842" w:type="dxa"/>
            <w:shd w:val="clear" w:color="auto" w:fill="auto"/>
            <w:vAlign w:val="bottom"/>
            <w:hideMark/>
          </w:tcPr>
          <w:p w14:paraId="1002EB4F"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some costs are difficult to measure or subjectively attributed to different classes of costs.</w:t>
            </w:r>
          </w:p>
        </w:tc>
        <w:tc>
          <w:tcPr>
            <w:tcW w:w="709" w:type="dxa"/>
            <w:shd w:val="clear" w:color="auto" w:fill="auto"/>
            <w:vAlign w:val="bottom"/>
            <w:hideMark/>
          </w:tcPr>
          <w:p w14:paraId="5B09E248"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multidimensional outcomes</w:t>
            </w:r>
          </w:p>
        </w:tc>
        <w:tc>
          <w:tcPr>
            <w:tcW w:w="851" w:type="dxa"/>
            <w:shd w:val="clear" w:color="auto" w:fill="auto"/>
            <w:vAlign w:val="bottom"/>
            <w:hideMark/>
          </w:tcPr>
          <w:p w14:paraId="253AC0EB"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may be necessary</w:t>
            </w:r>
          </w:p>
        </w:tc>
        <w:tc>
          <w:tcPr>
            <w:tcW w:w="1559" w:type="dxa"/>
            <w:shd w:val="clear" w:color="auto" w:fill="auto"/>
            <w:vAlign w:val="bottom"/>
            <w:hideMark/>
          </w:tcPr>
          <w:p w14:paraId="5A07CC43" w14:textId="5BD2F229"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as health IT does not directly </w:t>
            </w:r>
            <w:r w:rsidR="00C71A7C">
              <w:rPr>
                <w:rFonts w:eastAsia="Times New Roman" w:cstheme="minorHAnsi"/>
                <w:color w:val="000000"/>
                <w:sz w:val="10"/>
                <w:szCs w:val="10"/>
                <w:lang w:val="en-GB" w:eastAsia="de-DE"/>
              </w:rPr>
              <w:t>a</w:t>
            </w:r>
            <w:r w:rsidRPr="00A21C90">
              <w:rPr>
                <w:rFonts w:eastAsia="Times New Roman" w:cstheme="minorHAnsi"/>
                <w:color w:val="000000"/>
                <w:sz w:val="10"/>
                <w:szCs w:val="10"/>
                <w:lang w:val="en-GB" w:eastAsia="de-DE"/>
              </w:rPr>
              <w:t>ffect health states, benefits have to be measured in terms of changes in the health care and management processes</w:t>
            </w:r>
          </w:p>
        </w:tc>
        <w:tc>
          <w:tcPr>
            <w:tcW w:w="1984" w:type="dxa"/>
            <w:shd w:val="clear" w:color="auto" w:fill="auto"/>
            <w:vAlign w:val="bottom"/>
            <w:hideMark/>
          </w:tcPr>
          <w:p w14:paraId="78341ED2" w14:textId="2493AB62"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outcomes should be differentiated by distinguishing the main functionalities:</w:t>
            </w:r>
            <w:r w:rsidRPr="00A21C90">
              <w:rPr>
                <w:rFonts w:eastAsia="Times New Roman" w:cstheme="minorHAnsi"/>
                <w:color w:val="000000"/>
                <w:sz w:val="10"/>
                <w:szCs w:val="10"/>
                <w:lang w:val="en-GB" w:eastAsia="de-DE"/>
              </w:rPr>
              <w:br/>
              <w:t>1)</w:t>
            </w:r>
            <w:r w:rsidR="00C71A7C">
              <w:rPr>
                <w:rFonts w:eastAsia="Times New Roman" w:cstheme="minorHAnsi"/>
                <w:color w:val="000000"/>
                <w:sz w:val="10"/>
                <w:szCs w:val="10"/>
                <w:lang w:val="en-GB" w:eastAsia="de-DE"/>
              </w:rPr>
              <w:t xml:space="preserve"> </w:t>
            </w:r>
            <w:r w:rsidRPr="00A21C90">
              <w:rPr>
                <w:rFonts w:eastAsia="Times New Roman" w:cstheme="minorHAnsi"/>
                <w:color w:val="000000"/>
                <w:sz w:val="10"/>
                <w:szCs w:val="10"/>
                <w:lang w:val="en-GB" w:eastAsia="de-DE"/>
              </w:rPr>
              <w:t>capturing, storing, managing; sharing data</w:t>
            </w:r>
            <w:r w:rsidRPr="00A21C90">
              <w:rPr>
                <w:rFonts w:eastAsia="Times New Roman" w:cstheme="minorHAnsi"/>
                <w:color w:val="000000"/>
                <w:sz w:val="10"/>
                <w:szCs w:val="10"/>
                <w:lang w:val="en-GB" w:eastAsia="de-DE"/>
              </w:rPr>
              <w:br/>
              <w:t>2)</w:t>
            </w:r>
            <w:r w:rsidR="00C71A7C">
              <w:rPr>
                <w:rFonts w:eastAsia="Times New Roman" w:cstheme="minorHAnsi"/>
                <w:color w:val="000000"/>
                <w:sz w:val="10"/>
                <w:szCs w:val="10"/>
                <w:lang w:val="en-GB" w:eastAsia="de-DE"/>
              </w:rPr>
              <w:t xml:space="preserve"> </w:t>
            </w:r>
            <w:r w:rsidRPr="00A21C90">
              <w:rPr>
                <w:rFonts w:eastAsia="Times New Roman" w:cstheme="minorHAnsi"/>
                <w:color w:val="000000"/>
                <w:sz w:val="10"/>
                <w:szCs w:val="10"/>
                <w:lang w:val="en-GB" w:eastAsia="de-DE"/>
              </w:rPr>
              <w:t>informing and supporting clinical decision-making</w:t>
            </w:r>
            <w:r w:rsidRPr="00A21C90">
              <w:rPr>
                <w:rFonts w:eastAsia="Times New Roman" w:cstheme="minorHAnsi"/>
                <w:color w:val="000000"/>
                <w:sz w:val="10"/>
                <w:szCs w:val="10"/>
                <w:lang w:val="en-GB" w:eastAsia="de-DE"/>
              </w:rPr>
              <w:br/>
              <w:t>3)</w:t>
            </w:r>
            <w:r w:rsidR="00C71A7C">
              <w:rPr>
                <w:rFonts w:eastAsia="Times New Roman" w:cstheme="minorHAnsi"/>
                <w:color w:val="000000"/>
                <w:sz w:val="10"/>
                <w:szCs w:val="10"/>
                <w:lang w:val="en-GB" w:eastAsia="de-DE"/>
              </w:rPr>
              <w:t xml:space="preserve"> </w:t>
            </w:r>
            <w:r w:rsidRPr="00A21C90">
              <w:rPr>
                <w:rFonts w:eastAsia="Times New Roman" w:cstheme="minorHAnsi"/>
                <w:color w:val="000000"/>
                <w:sz w:val="10"/>
                <w:szCs w:val="10"/>
                <w:lang w:val="en-GB" w:eastAsia="de-DE"/>
              </w:rPr>
              <w:t>delivering expert professional and or consumer care remotely</w:t>
            </w:r>
          </w:p>
        </w:tc>
      </w:tr>
      <w:tr w:rsidR="00A15687" w:rsidRPr="00172FA8" w14:paraId="755A552A" w14:textId="77777777" w:rsidTr="00124BEF">
        <w:trPr>
          <w:trHeight w:val="692"/>
        </w:trPr>
        <w:tc>
          <w:tcPr>
            <w:tcW w:w="603" w:type="dxa"/>
            <w:shd w:val="clear" w:color="auto" w:fill="auto"/>
            <w:vAlign w:val="bottom"/>
            <w:hideMark/>
          </w:tcPr>
          <w:p w14:paraId="550594D3" w14:textId="050AD9D4" w:rsidR="00A15687" w:rsidRPr="00A21C90" w:rsidRDefault="00A15687" w:rsidP="00A21C90">
            <w:pPr>
              <w:rPr>
                <w:rFonts w:eastAsia="Times New Roman" w:cstheme="minorHAnsi"/>
                <w:color w:val="000000"/>
                <w:sz w:val="10"/>
                <w:szCs w:val="10"/>
                <w:lang w:val="en-GB" w:eastAsia="de-DE"/>
              </w:rPr>
            </w:pPr>
            <w:proofErr w:type="spellStart"/>
            <w:r w:rsidRPr="00A21C90">
              <w:rPr>
                <w:rFonts w:eastAsia="Times New Roman" w:cstheme="minorHAnsi"/>
                <w:color w:val="000000"/>
                <w:sz w:val="10"/>
                <w:szCs w:val="10"/>
                <w:lang w:val="en-GB" w:eastAsia="de-DE"/>
              </w:rPr>
              <w:t>Ohinmaa</w:t>
            </w:r>
            <w:proofErr w:type="spellEnd"/>
            <w:r w:rsidRPr="00A21C90">
              <w:rPr>
                <w:rFonts w:eastAsia="Times New Roman" w:cstheme="minorHAnsi"/>
                <w:color w:val="000000"/>
                <w:sz w:val="10"/>
                <w:szCs w:val="10"/>
                <w:lang w:val="en-GB" w:eastAsia="de-DE"/>
              </w:rPr>
              <w:t xml:space="preserve">; Hailey; </w:t>
            </w:r>
            <w:proofErr w:type="spellStart"/>
            <w:r w:rsidRPr="00A21C90">
              <w:rPr>
                <w:rFonts w:eastAsia="Times New Roman" w:cstheme="minorHAnsi"/>
                <w:color w:val="000000"/>
                <w:sz w:val="10"/>
                <w:szCs w:val="10"/>
                <w:lang w:val="en-GB" w:eastAsia="de-DE"/>
              </w:rPr>
              <w:t>Roine</w:t>
            </w:r>
            <w:proofErr w:type="spellEnd"/>
            <w:r w:rsidRPr="00172FA8">
              <w:rPr>
                <w:rFonts w:eastAsia="Times New Roman" w:cstheme="minorHAnsi"/>
                <w:color w:val="000000"/>
                <w:sz w:val="10"/>
                <w:szCs w:val="10"/>
                <w:lang w:val="en-GB" w:eastAsia="de-DE"/>
              </w:rPr>
              <w:t xml:space="preserve"> 200</w:t>
            </w:r>
          </w:p>
        </w:tc>
        <w:tc>
          <w:tcPr>
            <w:tcW w:w="584" w:type="dxa"/>
            <w:shd w:val="clear" w:color="auto" w:fill="auto"/>
            <w:vAlign w:val="bottom"/>
            <w:hideMark/>
          </w:tcPr>
          <w:p w14:paraId="77C9116F"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telemedicine</w:t>
            </w:r>
          </w:p>
        </w:tc>
        <w:tc>
          <w:tcPr>
            <w:tcW w:w="509" w:type="dxa"/>
            <w:shd w:val="clear" w:color="auto" w:fill="auto"/>
            <w:vAlign w:val="bottom"/>
            <w:hideMark/>
          </w:tcPr>
          <w:p w14:paraId="77AEB8F8"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Review</w:t>
            </w:r>
          </w:p>
        </w:tc>
        <w:tc>
          <w:tcPr>
            <w:tcW w:w="2266" w:type="dxa"/>
            <w:shd w:val="clear" w:color="auto" w:fill="auto"/>
            <w:vAlign w:val="bottom"/>
            <w:hideMark/>
          </w:tcPr>
          <w:p w14:paraId="1AD327DC" w14:textId="2F29C895"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difficulties in performing meaningful effectiveness studies; challenges in assessing cost and effectiv</w:t>
            </w:r>
            <w:r w:rsidR="00C71A7C">
              <w:rPr>
                <w:rFonts w:eastAsia="Times New Roman" w:cstheme="minorHAnsi"/>
                <w:color w:val="000000"/>
                <w:sz w:val="10"/>
                <w:szCs w:val="10"/>
                <w:lang w:val="en-GB" w:eastAsia="de-DE"/>
              </w:rPr>
              <w:t>e</w:t>
            </w:r>
            <w:r w:rsidRPr="00A21C90">
              <w:rPr>
                <w:rFonts w:eastAsia="Times New Roman" w:cstheme="minorHAnsi"/>
                <w:color w:val="000000"/>
                <w:sz w:val="10"/>
                <w:szCs w:val="10"/>
                <w:lang w:val="en-GB" w:eastAsia="de-DE"/>
              </w:rPr>
              <w:t xml:space="preserve">ness data; assessment is difficult due to changes in technology and healthcare systems; lack of </w:t>
            </w:r>
            <w:r w:rsidR="00C71A7C" w:rsidRPr="00A21C90">
              <w:rPr>
                <w:rFonts w:eastAsia="Times New Roman" w:cstheme="minorHAnsi"/>
                <w:color w:val="000000"/>
                <w:sz w:val="10"/>
                <w:szCs w:val="10"/>
                <w:lang w:val="en-GB" w:eastAsia="de-DE"/>
              </w:rPr>
              <w:t>resources</w:t>
            </w:r>
            <w:r w:rsidRPr="00A21C90">
              <w:rPr>
                <w:rFonts w:eastAsia="Times New Roman" w:cstheme="minorHAnsi"/>
                <w:color w:val="000000"/>
                <w:sz w:val="10"/>
                <w:szCs w:val="10"/>
                <w:lang w:val="en-GB" w:eastAsia="de-DE"/>
              </w:rPr>
              <w:t xml:space="preserve"> for funding evaluation studies, limited generalizability of </w:t>
            </w:r>
            <w:r w:rsidR="00C71A7C">
              <w:rPr>
                <w:rFonts w:eastAsia="Times New Roman" w:cstheme="minorHAnsi"/>
                <w:color w:val="000000"/>
                <w:sz w:val="10"/>
                <w:szCs w:val="10"/>
                <w:lang w:val="en-GB" w:eastAsia="de-DE"/>
              </w:rPr>
              <w:t>r</w:t>
            </w:r>
            <w:r w:rsidRPr="00A21C90">
              <w:rPr>
                <w:rFonts w:eastAsia="Times New Roman" w:cstheme="minorHAnsi"/>
                <w:color w:val="000000"/>
                <w:sz w:val="10"/>
                <w:szCs w:val="10"/>
                <w:lang w:val="en-GB" w:eastAsia="de-DE"/>
              </w:rPr>
              <w:t>esults</w:t>
            </w:r>
          </w:p>
        </w:tc>
        <w:tc>
          <w:tcPr>
            <w:tcW w:w="711" w:type="dxa"/>
            <w:shd w:val="clear" w:color="auto" w:fill="auto"/>
            <w:vAlign w:val="bottom"/>
            <w:hideMark/>
          </w:tcPr>
          <w:p w14:paraId="31ACDD24"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partially</w:t>
            </w:r>
          </w:p>
        </w:tc>
        <w:tc>
          <w:tcPr>
            <w:tcW w:w="1276" w:type="dxa"/>
            <w:shd w:val="clear" w:color="auto" w:fill="auto"/>
            <w:vAlign w:val="bottom"/>
            <w:hideMark/>
          </w:tcPr>
          <w:p w14:paraId="4FAC8D16" w14:textId="54E96AFA"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performance of a series of rapid, less detailed evaluations to provide decision makers with timely interim advice; analy</w:t>
            </w:r>
            <w:r w:rsidR="00C71A7C">
              <w:rPr>
                <w:rFonts w:eastAsia="Times New Roman" w:cstheme="minorHAnsi"/>
                <w:color w:val="000000"/>
                <w:sz w:val="10"/>
                <w:szCs w:val="10"/>
                <w:lang w:val="en-GB" w:eastAsia="de-DE"/>
              </w:rPr>
              <w:t>s</w:t>
            </w:r>
            <w:r w:rsidRPr="00A21C90">
              <w:rPr>
                <w:rFonts w:eastAsia="Times New Roman" w:cstheme="minorHAnsi"/>
                <w:color w:val="000000"/>
                <w:sz w:val="10"/>
                <w:szCs w:val="10"/>
                <w:lang w:val="en-GB" w:eastAsia="de-DE"/>
              </w:rPr>
              <w:t>is of results by "social audit analysis"</w:t>
            </w:r>
          </w:p>
        </w:tc>
        <w:tc>
          <w:tcPr>
            <w:tcW w:w="709" w:type="dxa"/>
            <w:shd w:val="clear" w:color="auto" w:fill="auto"/>
            <w:vAlign w:val="bottom"/>
            <w:hideMark/>
          </w:tcPr>
          <w:p w14:paraId="29AD6B1F"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partially</w:t>
            </w:r>
          </w:p>
        </w:tc>
        <w:tc>
          <w:tcPr>
            <w:tcW w:w="567" w:type="dxa"/>
            <w:shd w:val="clear" w:color="auto" w:fill="auto"/>
            <w:vAlign w:val="bottom"/>
            <w:hideMark/>
          </w:tcPr>
          <w:p w14:paraId="7CF34DD7"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134" w:type="dxa"/>
            <w:shd w:val="clear" w:color="auto" w:fill="auto"/>
            <w:vAlign w:val="bottom"/>
            <w:hideMark/>
          </w:tcPr>
          <w:p w14:paraId="5B18DF16"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multistakeholder-perspective</w:t>
            </w:r>
          </w:p>
        </w:tc>
        <w:tc>
          <w:tcPr>
            <w:tcW w:w="1842" w:type="dxa"/>
            <w:shd w:val="clear" w:color="auto" w:fill="auto"/>
            <w:vAlign w:val="bottom"/>
            <w:hideMark/>
          </w:tcPr>
          <w:p w14:paraId="643345FA"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709" w:type="dxa"/>
            <w:shd w:val="clear" w:color="auto" w:fill="auto"/>
            <w:vAlign w:val="bottom"/>
            <w:hideMark/>
          </w:tcPr>
          <w:p w14:paraId="1E1072BF"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multidimensional outcomes, priorities/values of policy makers</w:t>
            </w:r>
          </w:p>
        </w:tc>
        <w:tc>
          <w:tcPr>
            <w:tcW w:w="851" w:type="dxa"/>
            <w:shd w:val="clear" w:color="auto" w:fill="auto"/>
            <w:vAlign w:val="bottom"/>
            <w:hideMark/>
          </w:tcPr>
          <w:p w14:paraId="780EC494"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559" w:type="dxa"/>
            <w:shd w:val="clear" w:color="auto" w:fill="auto"/>
            <w:vAlign w:val="bottom"/>
            <w:hideMark/>
          </w:tcPr>
          <w:p w14:paraId="69984EA2"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often only surrogate outcomes available, investments in telemedicine will be accompanied by changes in patterns of care - some of them may be very specific, so generalizability is limited</w:t>
            </w:r>
          </w:p>
        </w:tc>
        <w:tc>
          <w:tcPr>
            <w:tcW w:w="1984" w:type="dxa"/>
            <w:shd w:val="clear" w:color="auto" w:fill="auto"/>
            <w:vAlign w:val="bottom"/>
            <w:hideMark/>
          </w:tcPr>
          <w:p w14:paraId="130D9A36" w14:textId="095D68DD"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Diagnostic quality, health related QoL, Clinical changes in health, changes in management p</w:t>
            </w:r>
            <w:r w:rsidR="00C71A7C">
              <w:rPr>
                <w:rFonts w:eastAsia="Times New Roman" w:cstheme="minorHAnsi"/>
                <w:color w:val="000000"/>
                <w:sz w:val="10"/>
                <w:szCs w:val="10"/>
                <w:lang w:val="en-GB" w:eastAsia="de-DE"/>
              </w:rPr>
              <w:t>r</w:t>
            </w:r>
            <w:r w:rsidRPr="00A21C90">
              <w:rPr>
                <w:rFonts w:eastAsia="Times New Roman" w:cstheme="minorHAnsi"/>
                <w:color w:val="000000"/>
                <w:sz w:val="10"/>
                <w:szCs w:val="10"/>
                <w:lang w:val="en-GB" w:eastAsia="de-DE"/>
              </w:rPr>
              <w:t>ocess in hospital, increasing know-how in PC, non-health outcomes of a patient (certainty, access of care, equality)</w:t>
            </w:r>
          </w:p>
        </w:tc>
      </w:tr>
      <w:tr w:rsidR="00A15687" w:rsidRPr="00172FA8" w14:paraId="43F2C311" w14:textId="77777777" w:rsidTr="00E37D32">
        <w:trPr>
          <w:trHeight w:val="706"/>
        </w:trPr>
        <w:tc>
          <w:tcPr>
            <w:tcW w:w="603" w:type="dxa"/>
            <w:shd w:val="clear" w:color="auto" w:fill="auto"/>
            <w:vAlign w:val="bottom"/>
            <w:hideMark/>
          </w:tcPr>
          <w:p w14:paraId="0EA87457" w14:textId="2A150FC6" w:rsidR="00A15687" w:rsidRPr="00A21C90" w:rsidRDefault="00A15687" w:rsidP="00A21C90">
            <w:pPr>
              <w:rPr>
                <w:rFonts w:eastAsia="Times New Roman" w:cstheme="minorHAnsi"/>
                <w:color w:val="000000"/>
                <w:sz w:val="10"/>
                <w:szCs w:val="10"/>
                <w:lang w:val="en-GB" w:eastAsia="de-DE"/>
              </w:rPr>
            </w:pPr>
            <w:proofErr w:type="spellStart"/>
            <w:r w:rsidRPr="00A21C90">
              <w:rPr>
                <w:rFonts w:eastAsia="Times New Roman" w:cstheme="minorHAnsi"/>
                <w:color w:val="000000"/>
                <w:sz w:val="10"/>
                <w:szCs w:val="10"/>
                <w:lang w:val="en-GB" w:eastAsia="de-DE"/>
              </w:rPr>
              <w:lastRenderedPageBreak/>
              <w:t>Snoswell</w:t>
            </w:r>
            <w:proofErr w:type="spellEnd"/>
            <w:r w:rsidRPr="00A21C90">
              <w:rPr>
                <w:rFonts w:eastAsia="Times New Roman" w:cstheme="minorHAnsi"/>
                <w:color w:val="000000"/>
                <w:sz w:val="10"/>
                <w:szCs w:val="10"/>
                <w:lang w:val="en-GB" w:eastAsia="de-DE"/>
              </w:rPr>
              <w:t xml:space="preserve">; Smith; </w:t>
            </w:r>
            <w:proofErr w:type="spellStart"/>
            <w:proofErr w:type="gramStart"/>
            <w:r w:rsidRPr="00A21C90">
              <w:rPr>
                <w:rFonts w:eastAsia="Times New Roman" w:cstheme="minorHAnsi"/>
                <w:color w:val="000000"/>
                <w:sz w:val="10"/>
                <w:szCs w:val="10"/>
                <w:lang w:val="en-GB" w:eastAsia="de-DE"/>
              </w:rPr>
              <w:t>Scuffham</w:t>
            </w:r>
            <w:proofErr w:type="spellEnd"/>
            <w:r w:rsidRPr="00A21C90">
              <w:rPr>
                <w:rFonts w:eastAsia="Times New Roman" w:cstheme="minorHAnsi"/>
                <w:color w:val="000000"/>
                <w:sz w:val="10"/>
                <w:szCs w:val="10"/>
                <w:lang w:val="en-GB" w:eastAsia="de-DE"/>
              </w:rPr>
              <w:t>;  Whitty</w:t>
            </w:r>
            <w:proofErr w:type="gramEnd"/>
            <w:r w:rsidRPr="00172FA8">
              <w:rPr>
                <w:rFonts w:eastAsia="Times New Roman" w:cstheme="minorHAnsi"/>
                <w:color w:val="000000"/>
                <w:sz w:val="10"/>
                <w:szCs w:val="10"/>
                <w:lang w:val="en-GB" w:eastAsia="de-DE"/>
              </w:rPr>
              <w:t xml:space="preserve"> 2017</w:t>
            </w:r>
          </w:p>
        </w:tc>
        <w:tc>
          <w:tcPr>
            <w:tcW w:w="584" w:type="dxa"/>
            <w:shd w:val="clear" w:color="auto" w:fill="auto"/>
            <w:vAlign w:val="bottom"/>
            <w:hideMark/>
          </w:tcPr>
          <w:p w14:paraId="16A2CB78"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telehealth</w:t>
            </w:r>
          </w:p>
        </w:tc>
        <w:tc>
          <w:tcPr>
            <w:tcW w:w="509" w:type="dxa"/>
            <w:shd w:val="clear" w:color="auto" w:fill="auto"/>
            <w:vAlign w:val="bottom"/>
            <w:hideMark/>
          </w:tcPr>
          <w:p w14:paraId="7E646633"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Discussion</w:t>
            </w:r>
          </w:p>
        </w:tc>
        <w:tc>
          <w:tcPr>
            <w:tcW w:w="2266" w:type="dxa"/>
            <w:shd w:val="clear" w:color="auto" w:fill="auto"/>
            <w:vAlign w:val="bottom"/>
            <w:hideMark/>
          </w:tcPr>
          <w:p w14:paraId="391B892C"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covering extra-clinical benefits of telehealth interventions (non-health and process-related outcomes)</w:t>
            </w:r>
          </w:p>
        </w:tc>
        <w:tc>
          <w:tcPr>
            <w:tcW w:w="711" w:type="dxa"/>
            <w:shd w:val="clear" w:color="auto" w:fill="auto"/>
            <w:vAlign w:val="bottom"/>
            <w:hideMark/>
          </w:tcPr>
          <w:p w14:paraId="706A21D7"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276" w:type="dxa"/>
            <w:shd w:val="clear" w:color="auto" w:fill="auto"/>
            <w:vAlign w:val="bottom"/>
            <w:hideMark/>
          </w:tcPr>
          <w:p w14:paraId="32A13289"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CBA, BIA</w:t>
            </w:r>
          </w:p>
        </w:tc>
        <w:tc>
          <w:tcPr>
            <w:tcW w:w="709" w:type="dxa"/>
            <w:shd w:val="clear" w:color="auto" w:fill="auto"/>
            <w:vAlign w:val="bottom"/>
            <w:hideMark/>
          </w:tcPr>
          <w:p w14:paraId="6D1C8E4E"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567" w:type="dxa"/>
            <w:shd w:val="clear" w:color="auto" w:fill="auto"/>
            <w:vAlign w:val="bottom"/>
            <w:hideMark/>
          </w:tcPr>
          <w:p w14:paraId="7B8C2CAF"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134" w:type="dxa"/>
            <w:shd w:val="clear" w:color="auto" w:fill="auto"/>
            <w:vAlign w:val="bottom"/>
            <w:hideMark/>
          </w:tcPr>
          <w:p w14:paraId="1D22DCC4"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societal</w:t>
            </w:r>
          </w:p>
        </w:tc>
        <w:tc>
          <w:tcPr>
            <w:tcW w:w="1842" w:type="dxa"/>
            <w:shd w:val="clear" w:color="auto" w:fill="auto"/>
            <w:vAlign w:val="bottom"/>
            <w:hideMark/>
          </w:tcPr>
          <w:p w14:paraId="5D7C09FE"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709" w:type="dxa"/>
            <w:shd w:val="clear" w:color="auto" w:fill="auto"/>
            <w:vAlign w:val="bottom"/>
            <w:hideMark/>
          </w:tcPr>
          <w:p w14:paraId="7A98375A"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are covered by CBA</w:t>
            </w:r>
          </w:p>
        </w:tc>
        <w:tc>
          <w:tcPr>
            <w:tcW w:w="851" w:type="dxa"/>
            <w:shd w:val="clear" w:color="auto" w:fill="auto"/>
            <w:vAlign w:val="bottom"/>
            <w:hideMark/>
          </w:tcPr>
          <w:p w14:paraId="3C906EFB"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by CBA</w:t>
            </w:r>
          </w:p>
        </w:tc>
        <w:tc>
          <w:tcPr>
            <w:tcW w:w="1559" w:type="dxa"/>
            <w:shd w:val="clear" w:color="auto" w:fill="auto"/>
            <w:vAlign w:val="bottom"/>
            <w:hideMark/>
          </w:tcPr>
          <w:p w14:paraId="0BFE739F" w14:textId="0C5344A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next to validated questionnaire tools informal methods such as free-form questions should be included to capture specific additional data</w:t>
            </w:r>
          </w:p>
        </w:tc>
        <w:tc>
          <w:tcPr>
            <w:tcW w:w="1984" w:type="dxa"/>
            <w:shd w:val="clear" w:color="auto" w:fill="auto"/>
            <w:vAlign w:val="bottom"/>
            <w:hideMark/>
          </w:tcPr>
          <w:p w14:paraId="3BA64579"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societal benefits that are not captured in conventional approaches: </w:t>
            </w:r>
            <w:proofErr w:type="gramStart"/>
            <w:r w:rsidRPr="00A21C90">
              <w:rPr>
                <w:rFonts w:eastAsia="Times New Roman" w:cstheme="minorHAnsi"/>
                <w:color w:val="000000"/>
                <w:sz w:val="10"/>
                <w:szCs w:val="10"/>
                <w:lang w:val="en-GB" w:eastAsia="de-DE"/>
              </w:rPr>
              <w:t>i.e.</w:t>
            </w:r>
            <w:proofErr w:type="gramEnd"/>
            <w:r w:rsidRPr="00A21C90">
              <w:rPr>
                <w:rFonts w:eastAsia="Times New Roman" w:cstheme="minorHAnsi"/>
                <w:color w:val="000000"/>
                <w:sz w:val="10"/>
                <w:szCs w:val="10"/>
                <w:lang w:val="en-GB" w:eastAsia="de-DE"/>
              </w:rPr>
              <w:t xml:space="preserve"> improved equity of access for isolated populations, access to specialist opinion, reduced travel requirements; unintended consequences may be captured by CBA as well </w:t>
            </w:r>
          </w:p>
        </w:tc>
      </w:tr>
      <w:tr w:rsidR="00A15687" w:rsidRPr="00172FA8" w14:paraId="084189B1" w14:textId="77777777" w:rsidTr="007A2EE3">
        <w:trPr>
          <w:trHeight w:val="20"/>
        </w:trPr>
        <w:tc>
          <w:tcPr>
            <w:tcW w:w="603" w:type="dxa"/>
            <w:shd w:val="clear" w:color="auto" w:fill="auto"/>
            <w:vAlign w:val="bottom"/>
            <w:hideMark/>
          </w:tcPr>
          <w:p w14:paraId="4B809B6C" w14:textId="717D7BB4"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Whited</w:t>
            </w:r>
            <w:r w:rsidRPr="00172FA8">
              <w:rPr>
                <w:rFonts w:eastAsia="Times New Roman" w:cstheme="minorHAnsi"/>
                <w:color w:val="000000"/>
                <w:sz w:val="10"/>
                <w:szCs w:val="10"/>
                <w:lang w:val="en-GB" w:eastAsia="de-DE"/>
              </w:rPr>
              <w:t xml:space="preserve"> 2010</w:t>
            </w:r>
          </w:p>
        </w:tc>
        <w:tc>
          <w:tcPr>
            <w:tcW w:w="584" w:type="dxa"/>
            <w:shd w:val="clear" w:color="auto" w:fill="auto"/>
            <w:vAlign w:val="bottom"/>
            <w:hideMark/>
          </w:tcPr>
          <w:p w14:paraId="290A0E6F"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telemedicine</w:t>
            </w:r>
          </w:p>
        </w:tc>
        <w:tc>
          <w:tcPr>
            <w:tcW w:w="509" w:type="dxa"/>
            <w:shd w:val="clear" w:color="auto" w:fill="auto"/>
            <w:vAlign w:val="bottom"/>
            <w:hideMark/>
          </w:tcPr>
          <w:p w14:paraId="01D885A8"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Review</w:t>
            </w:r>
          </w:p>
        </w:tc>
        <w:tc>
          <w:tcPr>
            <w:tcW w:w="2266" w:type="dxa"/>
            <w:shd w:val="clear" w:color="auto" w:fill="auto"/>
            <w:vAlign w:val="bottom"/>
            <w:hideMark/>
          </w:tcPr>
          <w:p w14:paraId="5B6EAB8F" w14:textId="64EF2191"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availability of </w:t>
            </w:r>
            <w:r w:rsidR="00E37D32" w:rsidRPr="00A21C90">
              <w:rPr>
                <w:rFonts w:eastAsia="Times New Roman" w:cstheme="minorHAnsi"/>
                <w:color w:val="000000"/>
                <w:sz w:val="10"/>
                <w:szCs w:val="10"/>
                <w:lang w:val="en-GB" w:eastAsia="de-DE"/>
              </w:rPr>
              <w:t>effectiveness</w:t>
            </w:r>
            <w:r w:rsidRPr="00A21C90">
              <w:rPr>
                <w:rFonts w:eastAsia="Times New Roman" w:cstheme="minorHAnsi"/>
                <w:color w:val="000000"/>
                <w:sz w:val="10"/>
                <w:szCs w:val="10"/>
                <w:lang w:val="en-GB" w:eastAsia="de-DE"/>
              </w:rPr>
              <w:t xml:space="preserve"> (outcome) data; often only intermediate outcomes available; rapidly changing pricing structure of the technology; labour costs may be reduced in future by the adoption of computer algorithms/automated analyses; different equipment used may limit the generalizability of results; context dependency (distances of travel averted)</w:t>
            </w:r>
          </w:p>
        </w:tc>
        <w:tc>
          <w:tcPr>
            <w:tcW w:w="711" w:type="dxa"/>
            <w:shd w:val="clear" w:color="auto" w:fill="auto"/>
            <w:vAlign w:val="bottom"/>
            <w:hideMark/>
          </w:tcPr>
          <w:p w14:paraId="3FB882A9"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276" w:type="dxa"/>
            <w:shd w:val="clear" w:color="auto" w:fill="auto"/>
            <w:vAlign w:val="bottom"/>
            <w:hideMark/>
          </w:tcPr>
          <w:p w14:paraId="247974F3"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709" w:type="dxa"/>
            <w:shd w:val="clear" w:color="auto" w:fill="auto"/>
            <w:vAlign w:val="bottom"/>
            <w:hideMark/>
          </w:tcPr>
          <w:p w14:paraId="628842CD"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567" w:type="dxa"/>
            <w:shd w:val="clear" w:color="auto" w:fill="auto"/>
            <w:vAlign w:val="bottom"/>
            <w:hideMark/>
          </w:tcPr>
          <w:p w14:paraId="207798FA"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1134" w:type="dxa"/>
            <w:shd w:val="clear" w:color="auto" w:fill="auto"/>
            <w:vAlign w:val="bottom"/>
            <w:hideMark/>
          </w:tcPr>
          <w:p w14:paraId="2274AF36"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should be clearly stated, societal perspective recommended</w:t>
            </w:r>
          </w:p>
        </w:tc>
        <w:tc>
          <w:tcPr>
            <w:tcW w:w="1842" w:type="dxa"/>
            <w:shd w:val="clear" w:color="auto" w:fill="auto"/>
            <w:vAlign w:val="bottom"/>
            <w:hideMark/>
          </w:tcPr>
          <w:p w14:paraId="71726B6D" w14:textId="6F64216A"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rapidly changing prices of technology; technology may be used for other interventions as well</w:t>
            </w:r>
          </w:p>
        </w:tc>
        <w:tc>
          <w:tcPr>
            <w:tcW w:w="709" w:type="dxa"/>
            <w:shd w:val="clear" w:color="auto" w:fill="auto"/>
            <w:vAlign w:val="bottom"/>
          </w:tcPr>
          <w:p w14:paraId="4D90395F" w14:textId="365758E8" w:rsidR="00A15687" w:rsidRPr="00A21C90" w:rsidRDefault="00A15687" w:rsidP="00A21C90">
            <w:pPr>
              <w:rPr>
                <w:rFonts w:eastAsia="Times New Roman" w:cstheme="minorHAnsi"/>
                <w:color w:val="000000"/>
                <w:sz w:val="10"/>
                <w:szCs w:val="10"/>
                <w:lang w:val="en-GB" w:eastAsia="de-DE"/>
              </w:rPr>
            </w:pPr>
          </w:p>
        </w:tc>
        <w:tc>
          <w:tcPr>
            <w:tcW w:w="851" w:type="dxa"/>
            <w:shd w:val="clear" w:color="auto" w:fill="auto"/>
            <w:vAlign w:val="bottom"/>
            <w:hideMark/>
          </w:tcPr>
          <w:p w14:paraId="30F5C642"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1559" w:type="dxa"/>
            <w:shd w:val="clear" w:color="auto" w:fill="auto"/>
            <w:vAlign w:val="bottom"/>
            <w:hideMark/>
          </w:tcPr>
          <w:p w14:paraId="5FC39629"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reliable clinical outcome data is scarce so far</w:t>
            </w:r>
          </w:p>
        </w:tc>
        <w:tc>
          <w:tcPr>
            <w:tcW w:w="1984" w:type="dxa"/>
            <w:shd w:val="clear" w:color="auto" w:fill="auto"/>
            <w:vAlign w:val="bottom"/>
            <w:hideMark/>
          </w:tcPr>
          <w:p w14:paraId="6D6487F8"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preferably clinical outcomes</w:t>
            </w:r>
          </w:p>
        </w:tc>
      </w:tr>
      <w:tr w:rsidR="00A15687" w:rsidRPr="00172FA8" w14:paraId="5DDA9EF8" w14:textId="77777777" w:rsidTr="007A2EE3">
        <w:trPr>
          <w:trHeight w:val="1101"/>
        </w:trPr>
        <w:tc>
          <w:tcPr>
            <w:tcW w:w="603" w:type="dxa"/>
            <w:shd w:val="clear" w:color="auto" w:fill="auto"/>
            <w:vAlign w:val="bottom"/>
            <w:hideMark/>
          </w:tcPr>
          <w:p w14:paraId="5EB0B304" w14:textId="1ACCEE9A" w:rsidR="00A15687" w:rsidRPr="00A21C90" w:rsidRDefault="00A15687" w:rsidP="00A21C90">
            <w:pPr>
              <w:rPr>
                <w:rFonts w:eastAsia="Times New Roman" w:cstheme="minorHAnsi"/>
                <w:color w:val="000000"/>
                <w:sz w:val="10"/>
                <w:szCs w:val="10"/>
                <w:lang w:val="en-GB" w:eastAsia="de-DE"/>
              </w:rPr>
            </w:pPr>
            <w:proofErr w:type="spellStart"/>
            <w:r w:rsidRPr="00A21C90">
              <w:rPr>
                <w:rFonts w:eastAsia="Times New Roman" w:cstheme="minorHAnsi"/>
                <w:color w:val="000000"/>
                <w:sz w:val="10"/>
                <w:szCs w:val="10"/>
                <w:lang w:val="en-GB" w:eastAsia="de-DE"/>
              </w:rPr>
              <w:t>Bergmo</w:t>
            </w:r>
            <w:proofErr w:type="spellEnd"/>
            <w:r w:rsidRPr="00172FA8">
              <w:rPr>
                <w:rFonts w:eastAsia="Times New Roman" w:cstheme="minorHAnsi"/>
                <w:color w:val="000000"/>
                <w:sz w:val="10"/>
                <w:szCs w:val="10"/>
                <w:lang w:val="en-GB" w:eastAsia="de-DE"/>
              </w:rPr>
              <w:t xml:space="preserve"> 2012</w:t>
            </w:r>
          </w:p>
        </w:tc>
        <w:tc>
          <w:tcPr>
            <w:tcW w:w="584" w:type="dxa"/>
            <w:shd w:val="clear" w:color="auto" w:fill="auto"/>
            <w:vAlign w:val="bottom"/>
            <w:hideMark/>
          </w:tcPr>
          <w:p w14:paraId="7C32FA90"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telemedicine</w:t>
            </w:r>
          </w:p>
        </w:tc>
        <w:tc>
          <w:tcPr>
            <w:tcW w:w="509" w:type="dxa"/>
            <w:shd w:val="clear" w:color="auto" w:fill="auto"/>
            <w:vAlign w:val="bottom"/>
            <w:hideMark/>
          </w:tcPr>
          <w:p w14:paraId="4AC35907"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Discussion</w:t>
            </w:r>
          </w:p>
        </w:tc>
        <w:tc>
          <w:tcPr>
            <w:tcW w:w="2266" w:type="dxa"/>
            <w:shd w:val="clear" w:color="auto" w:fill="auto"/>
            <w:vAlign w:val="bottom"/>
            <w:hideMark/>
          </w:tcPr>
          <w:p w14:paraId="3F7F6192"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 external validity (generalizability) due to heterogeneity and complexity of the field (diversity in terms of speciality, technology, applications, objectives and context); context variables have more impact on the results than the intervention itself; services can involve a complex mixture of technologies intermingled with different clinical an organizational routines and practices; specific challenges of pragmatic trials and decision analytic modelling</w:t>
            </w:r>
          </w:p>
        </w:tc>
        <w:tc>
          <w:tcPr>
            <w:tcW w:w="711" w:type="dxa"/>
            <w:shd w:val="clear" w:color="auto" w:fill="auto"/>
            <w:vAlign w:val="bottom"/>
            <w:hideMark/>
          </w:tcPr>
          <w:p w14:paraId="14CEFE40"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partially</w:t>
            </w:r>
          </w:p>
        </w:tc>
        <w:tc>
          <w:tcPr>
            <w:tcW w:w="1276" w:type="dxa"/>
            <w:shd w:val="clear" w:color="auto" w:fill="auto"/>
            <w:vAlign w:val="bottom"/>
            <w:hideMark/>
          </w:tcPr>
          <w:p w14:paraId="63FC996A"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pragmatic trials; decision analytic modelling</w:t>
            </w:r>
          </w:p>
        </w:tc>
        <w:tc>
          <w:tcPr>
            <w:tcW w:w="709" w:type="dxa"/>
            <w:shd w:val="clear" w:color="auto" w:fill="auto"/>
            <w:vAlign w:val="bottom"/>
            <w:hideMark/>
          </w:tcPr>
          <w:p w14:paraId="6C96723D"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partially</w:t>
            </w:r>
          </w:p>
        </w:tc>
        <w:tc>
          <w:tcPr>
            <w:tcW w:w="567" w:type="dxa"/>
            <w:shd w:val="clear" w:color="auto" w:fill="auto"/>
            <w:vAlign w:val="bottom"/>
            <w:hideMark/>
          </w:tcPr>
          <w:p w14:paraId="62A97C3A" w14:textId="53636C30"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complex </w:t>
            </w:r>
            <w:r w:rsidR="00E37D32" w:rsidRPr="00A21C90">
              <w:rPr>
                <w:rFonts w:eastAsia="Times New Roman" w:cstheme="minorHAnsi"/>
                <w:color w:val="000000"/>
                <w:sz w:val="10"/>
                <w:szCs w:val="10"/>
                <w:lang w:val="en-GB" w:eastAsia="de-DE"/>
              </w:rPr>
              <w:t>interve</w:t>
            </w:r>
            <w:r w:rsidR="00E37D32">
              <w:rPr>
                <w:rFonts w:eastAsia="Times New Roman" w:cstheme="minorHAnsi"/>
                <w:color w:val="000000"/>
                <w:sz w:val="10"/>
                <w:szCs w:val="10"/>
                <w:lang w:val="en-GB" w:eastAsia="de-DE"/>
              </w:rPr>
              <w:t>n</w:t>
            </w:r>
            <w:r w:rsidR="00E37D32" w:rsidRPr="00A21C90">
              <w:rPr>
                <w:rFonts w:eastAsia="Times New Roman" w:cstheme="minorHAnsi"/>
                <w:color w:val="000000"/>
                <w:sz w:val="10"/>
                <w:szCs w:val="10"/>
                <w:lang w:val="en-GB" w:eastAsia="de-DE"/>
              </w:rPr>
              <w:t>tion</w:t>
            </w:r>
            <w:r w:rsidRPr="00A21C90">
              <w:rPr>
                <w:rFonts w:eastAsia="Times New Roman" w:cstheme="minorHAnsi"/>
                <w:color w:val="000000"/>
                <w:sz w:val="10"/>
                <w:szCs w:val="10"/>
                <w:lang w:val="en-GB" w:eastAsia="de-DE"/>
              </w:rPr>
              <w:t>, many relevant context factors, multiple outcomes</w:t>
            </w:r>
          </w:p>
        </w:tc>
        <w:tc>
          <w:tcPr>
            <w:tcW w:w="1134" w:type="dxa"/>
            <w:shd w:val="clear" w:color="auto" w:fill="auto"/>
            <w:vAlign w:val="bottom"/>
            <w:hideMark/>
          </w:tcPr>
          <w:p w14:paraId="44E5C339"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has to be stated clearly in advance</w:t>
            </w:r>
          </w:p>
        </w:tc>
        <w:tc>
          <w:tcPr>
            <w:tcW w:w="1842" w:type="dxa"/>
            <w:shd w:val="clear" w:color="auto" w:fill="auto"/>
            <w:vAlign w:val="bottom"/>
            <w:hideMark/>
          </w:tcPr>
          <w:p w14:paraId="3D7F443D" w14:textId="08433689"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cost should be assessed in pragmatic trials or different options should be </w:t>
            </w:r>
            <w:r w:rsidR="00E37D32" w:rsidRPr="00A21C90">
              <w:rPr>
                <w:rFonts w:eastAsia="Times New Roman" w:cstheme="minorHAnsi"/>
                <w:color w:val="000000"/>
                <w:sz w:val="10"/>
                <w:szCs w:val="10"/>
                <w:lang w:val="en-GB" w:eastAsia="de-DE"/>
              </w:rPr>
              <w:t>analysed</w:t>
            </w:r>
            <w:r w:rsidRPr="00A21C90">
              <w:rPr>
                <w:rFonts w:eastAsia="Times New Roman" w:cstheme="minorHAnsi"/>
                <w:color w:val="000000"/>
                <w:sz w:val="10"/>
                <w:szCs w:val="10"/>
                <w:lang w:val="en-GB" w:eastAsia="de-DE"/>
              </w:rPr>
              <w:t xml:space="preserve"> by decision analytic modelling</w:t>
            </w:r>
          </w:p>
        </w:tc>
        <w:tc>
          <w:tcPr>
            <w:tcW w:w="709" w:type="dxa"/>
            <w:shd w:val="clear" w:color="auto" w:fill="auto"/>
            <w:vAlign w:val="bottom"/>
          </w:tcPr>
          <w:p w14:paraId="5669AC87" w14:textId="4FFA8E8D" w:rsidR="00A15687" w:rsidRPr="00A21C90" w:rsidRDefault="00A15687" w:rsidP="00A21C90">
            <w:pPr>
              <w:rPr>
                <w:rFonts w:eastAsia="Times New Roman" w:cstheme="minorHAnsi"/>
                <w:color w:val="000000"/>
                <w:sz w:val="10"/>
                <w:szCs w:val="10"/>
                <w:lang w:val="en-GB" w:eastAsia="de-DE"/>
              </w:rPr>
            </w:pPr>
          </w:p>
        </w:tc>
        <w:tc>
          <w:tcPr>
            <w:tcW w:w="851" w:type="dxa"/>
            <w:shd w:val="clear" w:color="auto" w:fill="auto"/>
            <w:vAlign w:val="bottom"/>
            <w:hideMark/>
          </w:tcPr>
          <w:p w14:paraId="2F0CA51D"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1559" w:type="dxa"/>
            <w:shd w:val="clear" w:color="auto" w:fill="auto"/>
            <w:vAlign w:val="bottom"/>
            <w:hideMark/>
          </w:tcPr>
          <w:p w14:paraId="13271CDC"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decision modelling can be used to translate intermediate outcomes into final health outcomes</w:t>
            </w:r>
          </w:p>
        </w:tc>
        <w:tc>
          <w:tcPr>
            <w:tcW w:w="1984" w:type="dxa"/>
            <w:shd w:val="clear" w:color="auto" w:fill="auto"/>
            <w:vAlign w:val="bottom"/>
            <w:hideMark/>
          </w:tcPr>
          <w:p w14:paraId="5E8AD6CC"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r>
      <w:tr w:rsidR="00A15687" w:rsidRPr="00172FA8" w14:paraId="37AF4B94" w14:textId="77777777" w:rsidTr="00E37D32">
        <w:trPr>
          <w:trHeight w:val="1270"/>
        </w:trPr>
        <w:tc>
          <w:tcPr>
            <w:tcW w:w="603" w:type="dxa"/>
            <w:shd w:val="clear" w:color="auto" w:fill="auto"/>
            <w:vAlign w:val="bottom"/>
            <w:hideMark/>
          </w:tcPr>
          <w:p w14:paraId="64362F2E" w14:textId="1E04E0EF"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Davalos; French; Burdick; Simmons</w:t>
            </w:r>
            <w:r w:rsidRPr="00172FA8">
              <w:rPr>
                <w:rFonts w:eastAsia="Times New Roman" w:cstheme="minorHAnsi"/>
                <w:color w:val="000000"/>
                <w:sz w:val="10"/>
                <w:szCs w:val="10"/>
                <w:lang w:val="en-GB" w:eastAsia="de-DE"/>
              </w:rPr>
              <w:t xml:space="preserve"> 2009</w:t>
            </w:r>
          </w:p>
        </w:tc>
        <w:tc>
          <w:tcPr>
            <w:tcW w:w="584" w:type="dxa"/>
            <w:shd w:val="clear" w:color="auto" w:fill="auto"/>
            <w:vAlign w:val="bottom"/>
            <w:hideMark/>
          </w:tcPr>
          <w:p w14:paraId="63E53330"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telemedicine</w:t>
            </w:r>
          </w:p>
        </w:tc>
        <w:tc>
          <w:tcPr>
            <w:tcW w:w="509" w:type="dxa"/>
            <w:shd w:val="clear" w:color="auto" w:fill="auto"/>
            <w:vAlign w:val="bottom"/>
            <w:hideMark/>
          </w:tcPr>
          <w:p w14:paraId="6AE99E90"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Discussion, Framework</w:t>
            </w:r>
          </w:p>
        </w:tc>
        <w:tc>
          <w:tcPr>
            <w:tcW w:w="2266" w:type="dxa"/>
            <w:shd w:val="clear" w:color="auto" w:fill="auto"/>
            <w:vAlign w:val="bottom"/>
            <w:hideMark/>
          </w:tcPr>
          <w:p w14:paraId="6872AFFB" w14:textId="386C0580" w:rsidR="00A15687" w:rsidRPr="00A21C90" w:rsidRDefault="00A15687" w:rsidP="003D7FEA">
            <w:pPr>
              <w:spacing w:after="240"/>
              <w:rPr>
                <w:rFonts w:eastAsia="Times New Roman" w:cstheme="minorHAnsi"/>
                <w:color w:val="000000"/>
                <w:sz w:val="10"/>
                <w:szCs w:val="10"/>
                <w:lang w:val="en-GB" w:eastAsia="de-DE"/>
              </w:rPr>
            </w:pPr>
            <w:r w:rsidRPr="00E37D32">
              <w:rPr>
                <w:rFonts w:eastAsia="Times New Roman" w:cstheme="minorHAnsi"/>
                <w:color w:val="000000"/>
                <w:sz w:val="10"/>
                <w:szCs w:val="10"/>
                <w:lang w:val="en-GB" w:eastAsia="de-DE"/>
              </w:rPr>
              <w:t>research gaps: limited</w:t>
            </w:r>
            <w:r w:rsidRPr="00A21C90">
              <w:rPr>
                <w:rFonts w:eastAsia="Times New Roman" w:cstheme="minorHAnsi"/>
                <w:color w:val="000000"/>
                <w:sz w:val="10"/>
                <w:szCs w:val="10"/>
                <w:lang w:val="en-GB" w:eastAsia="de-DE"/>
              </w:rPr>
              <w:t xml:space="preserve"> generalizability of studies (due to heterogeneity of telemedicine programs); disparate estimation methods; few completed CBAs; lack of RCTs; lack of long-term evaluation studies; absence of quality data and appropriate measures; small sample sizes (statistical limitations); CBAs are seldomly performed; difficulty of monetary valuation of specific aspects or outcomes of the interventions (</w:t>
            </w:r>
            <w:r w:rsidR="00E37D32" w:rsidRPr="00A21C90">
              <w:rPr>
                <w:rFonts w:eastAsia="Times New Roman" w:cstheme="minorHAnsi"/>
                <w:color w:val="000000"/>
                <w:sz w:val="10"/>
                <w:szCs w:val="10"/>
                <w:lang w:val="en-GB" w:eastAsia="de-DE"/>
              </w:rPr>
              <w:t>i.e.,</w:t>
            </w:r>
            <w:r w:rsidRPr="00A21C90">
              <w:rPr>
                <w:rFonts w:eastAsia="Times New Roman" w:cstheme="minorHAnsi"/>
                <w:color w:val="000000"/>
                <w:sz w:val="10"/>
                <w:szCs w:val="10"/>
                <w:lang w:val="en-GB" w:eastAsia="de-DE"/>
              </w:rPr>
              <w:t xml:space="preserve"> faster diagnosis)</w:t>
            </w:r>
          </w:p>
        </w:tc>
        <w:tc>
          <w:tcPr>
            <w:tcW w:w="711" w:type="dxa"/>
            <w:shd w:val="clear" w:color="auto" w:fill="auto"/>
            <w:vAlign w:val="bottom"/>
            <w:hideMark/>
          </w:tcPr>
          <w:p w14:paraId="12D617F6"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276" w:type="dxa"/>
            <w:shd w:val="clear" w:color="auto" w:fill="auto"/>
            <w:vAlign w:val="bottom"/>
            <w:hideMark/>
          </w:tcPr>
          <w:p w14:paraId="3A6201CC"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CBA</w:t>
            </w:r>
          </w:p>
        </w:tc>
        <w:tc>
          <w:tcPr>
            <w:tcW w:w="709" w:type="dxa"/>
            <w:shd w:val="clear" w:color="auto" w:fill="auto"/>
            <w:vAlign w:val="bottom"/>
            <w:hideMark/>
          </w:tcPr>
          <w:p w14:paraId="5CEBC93F"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 (gold standard)</w:t>
            </w:r>
          </w:p>
        </w:tc>
        <w:tc>
          <w:tcPr>
            <w:tcW w:w="567" w:type="dxa"/>
            <w:shd w:val="clear" w:color="auto" w:fill="auto"/>
            <w:vAlign w:val="bottom"/>
            <w:hideMark/>
          </w:tcPr>
          <w:p w14:paraId="5C94636E"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134" w:type="dxa"/>
            <w:shd w:val="clear" w:color="auto" w:fill="auto"/>
            <w:vAlign w:val="bottom"/>
            <w:hideMark/>
          </w:tcPr>
          <w:p w14:paraId="6D404128"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societal perspective; disaggregated measures for client/provider/other stakeholders</w:t>
            </w:r>
          </w:p>
        </w:tc>
        <w:tc>
          <w:tcPr>
            <w:tcW w:w="1842" w:type="dxa"/>
            <w:shd w:val="clear" w:color="auto" w:fill="auto"/>
            <w:vAlign w:val="bottom"/>
            <w:hideMark/>
          </w:tcPr>
          <w:p w14:paraId="55107F8F" w14:textId="77777777" w:rsidR="00A15687" w:rsidRPr="00A21C90" w:rsidRDefault="00A15687" w:rsidP="00A21C90">
            <w:pPr>
              <w:rPr>
                <w:rFonts w:eastAsia="Times New Roman" w:cstheme="minorHAnsi"/>
                <w:color w:val="000000"/>
                <w:sz w:val="10"/>
                <w:szCs w:val="10"/>
                <w:lang w:val="en-GB" w:eastAsia="de-DE"/>
              </w:rPr>
            </w:pPr>
          </w:p>
        </w:tc>
        <w:tc>
          <w:tcPr>
            <w:tcW w:w="709" w:type="dxa"/>
            <w:shd w:val="clear" w:color="auto" w:fill="auto"/>
            <w:vAlign w:val="bottom"/>
            <w:hideMark/>
          </w:tcPr>
          <w:p w14:paraId="74FA7DAB" w14:textId="77777777" w:rsidR="00A15687" w:rsidRPr="00A21C90" w:rsidRDefault="00A15687" w:rsidP="00A21C90">
            <w:pPr>
              <w:rPr>
                <w:rFonts w:eastAsia="Times New Roman" w:cstheme="minorHAnsi"/>
                <w:sz w:val="10"/>
                <w:szCs w:val="10"/>
                <w:lang w:val="en-GB" w:eastAsia="de-DE"/>
              </w:rPr>
            </w:pPr>
          </w:p>
        </w:tc>
        <w:tc>
          <w:tcPr>
            <w:tcW w:w="851" w:type="dxa"/>
            <w:shd w:val="clear" w:color="auto" w:fill="auto"/>
            <w:vAlign w:val="bottom"/>
            <w:hideMark/>
          </w:tcPr>
          <w:p w14:paraId="48B3F877"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covered by CBA</w:t>
            </w:r>
          </w:p>
        </w:tc>
        <w:tc>
          <w:tcPr>
            <w:tcW w:w="1559" w:type="dxa"/>
            <w:shd w:val="clear" w:color="auto" w:fill="auto"/>
            <w:vAlign w:val="bottom"/>
            <w:hideMark/>
          </w:tcPr>
          <w:p w14:paraId="3B4FC413" w14:textId="2ACC8B6F" w:rsidR="00A15687" w:rsidRPr="00A21C90" w:rsidRDefault="00A15687" w:rsidP="00A21C90">
            <w:pPr>
              <w:rPr>
                <w:rFonts w:eastAsia="Times New Roman" w:cstheme="minorHAnsi"/>
                <w:color w:val="000000"/>
                <w:sz w:val="10"/>
                <w:szCs w:val="10"/>
                <w:lang w:val="en-GB" w:eastAsia="de-DE"/>
              </w:rPr>
            </w:pPr>
            <w:r w:rsidRPr="00172FA8">
              <w:rPr>
                <w:rFonts w:eastAsia="Times New Roman" w:cstheme="minorHAnsi"/>
                <w:color w:val="000000"/>
                <w:sz w:val="10"/>
                <w:szCs w:val="10"/>
                <w:lang w:val="en-GB" w:eastAsia="de-DE"/>
              </w:rPr>
              <w:t>m</w:t>
            </w:r>
            <w:r w:rsidRPr="00A21C90">
              <w:rPr>
                <w:rFonts w:eastAsia="Times New Roman" w:cstheme="minorHAnsi"/>
                <w:color w:val="000000"/>
                <w:sz w:val="10"/>
                <w:szCs w:val="10"/>
                <w:lang w:val="en-GB" w:eastAsia="de-DE"/>
              </w:rPr>
              <w:t xml:space="preserve">ultidimensional outcomes for different stakeholders; outcomes such as patient’s health knowledge, ability for self-care, medication compliance, faster/accurate diagnosis and treatment, access to healthcare are difficult to value with currently </w:t>
            </w:r>
            <w:r w:rsidR="00272640" w:rsidRPr="00A21C90">
              <w:rPr>
                <w:rFonts w:eastAsia="Times New Roman" w:cstheme="minorHAnsi"/>
                <w:color w:val="000000"/>
                <w:sz w:val="10"/>
                <w:szCs w:val="10"/>
                <w:lang w:val="en-GB" w:eastAsia="de-DE"/>
              </w:rPr>
              <w:t>available</w:t>
            </w:r>
            <w:r w:rsidRPr="00A21C90">
              <w:rPr>
                <w:rFonts w:eastAsia="Times New Roman" w:cstheme="minorHAnsi"/>
                <w:color w:val="000000"/>
                <w:sz w:val="10"/>
                <w:szCs w:val="10"/>
                <w:lang w:val="en-GB" w:eastAsia="de-DE"/>
              </w:rPr>
              <w:t xml:space="preserve"> information (indirect effect of these outcomes on health improvement is not easy to identify) </w:t>
            </w:r>
          </w:p>
        </w:tc>
        <w:tc>
          <w:tcPr>
            <w:tcW w:w="1984" w:type="dxa"/>
            <w:shd w:val="clear" w:color="auto" w:fill="auto"/>
            <w:vAlign w:val="bottom"/>
            <w:hideMark/>
          </w:tcPr>
          <w:p w14:paraId="7E21D461" w14:textId="4709C1BC"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detailed list of possible outcomes for clients, providers, other stakeholders that relate to the categories as medical effectiveness, employment, </w:t>
            </w:r>
            <w:r w:rsidR="00272640" w:rsidRPr="00A21C90">
              <w:rPr>
                <w:rFonts w:eastAsia="Times New Roman" w:cstheme="minorHAnsi"/>
                <w:color w:val="000000"/>
                <w:sz w:val="10"/>
                <w:szCs w:val="10"/>
                <w:lang w:val="en-GB" w:eastAsia="de-DE"/>
              </w:rPr>
              <w:t>healthcare</w:t>
            </w:r>
            <w:r w:rsidRPr="00A21C90">
              <w:rPr>
                <w:rFonts w:eastAsia="Times New Roman" w:cstheme="minorHAnsi"/>
                <w:color w:val="000000"/>
                <w:sz w:val="10"/>
                <w:szCs w:val="10"/>
                <w:lang w:val="en-GB" w:eastAsia="de-DE"/>
              </w:rPr>
              <w:t xml:space="preserve"> services and decreased travel is provided</w:t>
            </w:r>
          </w:p>
        </w:tc>
      </w:tr>
      <w:tr w:rsidR="00A15687" w:rsidRPr="00172FA8" w14:paraId="5FED6D58" w14:textId="77777777" w:rsidTr="00124BEF">
        <w:trPr>
          <w:trHeight w:val="60"/>
        </w:trPr>
        <w:tc>
          <w:tcPr>
            <w:tcW w:w="603" w:type="dxa"/>
            <w:shd w:val="clear" w:color="auto" w:fill="auto"/>
            <w:vAlign w:val="bottom"/>
            <w:hideMark/>
          </w:tcPr>
          <w:p w14:paraId="430ACCEB" w14:textId="66923C8A"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Mair; Haycox; May; Williams</w:t>
            </w:r>
            <w:r w:rsidRPr="00172FA8">
              <w:rPr>
                <w:rFonts w:eastAsia="Times New Roman" w:cstheme="minorHAnsi"/>
                <w:color w:val="000000"/>
                <w:sz w:val="10"/>
                <w:szCs w:val="10"/>
                <w:lang w:val="en-GB" w:eastAsia="de-DE"/>
              </w:rPr>
              <w:t xml:space="preserve"> 2000</w:t>
            </w:r>
          </w:p>
        </w:tc>
        <w:tc>
          <w:tcPr>
            <w:tcW w:w="584" w:type="dxa"/>
            <w:shd w:val="clear" w:color="auto" w:fill="auto"/>
            <w:vAlign w:val="bottom"/>
            <w:hideMark/>
          </w:tcPr>
          <w:p w14:paraId="2E77623F"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telemedicine</w:t>
            </w:r>
          </w:p>
        </w:tc>
        <w:tc>
          <w:tcPr>
            <w:tcW w:w="509" w:type="dxa"/>
            <w:shd w:val="clear" w:color="auto" w:fill="auto"/>
            <w:vAlign w:val="bottom"/>
            <w:hideMark/>
          </w:tcPr>
          <w:p w14:paraId="3500E8EC"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Recommendations</w:t>
            </w:r>
          </w:p>
        </w:tc>
        <w:tc>
          <w:tcPr>
            <w:tcW w:w="2266" w:type="dxa"/>
            <w:shd w:val="clear" w:color="auto" w:fill="auto"/>
            <w:vAlign w:val="bottom"/>
            <w:hideMark/>
          </w:tcPr>
          <w:p w14:paraId="07E28EAB"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reliable evidence on effectiveness is scare so far; 'stepped' cost functions for telemedicine services (largely dependent on usage rates); marginal costs will differ between different patient groups: more evidence is necessary to estimate the cost functions adequality.</w:t>
            </w:r>
          </w:p>
        </w:tc>
        <w:tc>
          <w:tcPr>
            <w:tcW w:w="711" w:type="dxa"/>
            <w:shd w:val="clear" w:color="auto" w:fill="auto"/>
            <w:vAlign w:val="bottom"/>
            <w:hideMark/>
          </w:tcPr>
          <w:p w14:paraId="1987DD16"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276" w:type="dxa"/>
            <w:shd w:val="clear" w:color="auto" w:fill="auto"/>
            <w:vAlign w:val="bottom"/>
            <w:hideMark/>
          </w:tcPr>
          <w:p w14:paraId="0C3959DB" w14:textId="77777777" w:rsidR="00A15687" w:rsidRPr="00A21C90" w:rsidRDefault="00A15687" w:rsidP="00A21C90">
            <w:pPr>
              <w:rPr>
                <w:rFonts w:eastAsia="Times New Roman" w:cstheme="minorHAnsi"/>
                <w:color w:val="000000"/>
                <w:sz w:val="10"/>
                <w:szCs w:val="10"/>
                <w:lang w:val="en-GB" w:eastAsia="de-DE"/>
              </w:rPr>
            </w:pPr>
          </w:p>
        </w:tc>
        <w:tc>
          <w:tcPr>
            <w:tcW w:w="709" w:type="dxa"/>
            <w:shd w:val="clear" w:color="auto" w:fill="auto"/>
            <w:vAlign w:val="bottom"/>
            <w:hideMark/>
          </w:tcPr>
          <w:p w14:paraId="0F38D744"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567" w:type="dxa"/>
            <w:shd w:val="clear" w:color="auto" w:fill="auto"/>
            <w:vAlign w:val="bottom"/>
            <w:hideMark/>
          </w:tcPr>
          <w:p w14:paraId="12A701BB" w14:textId="77777777" w:rsidR="00A15687" w:rsidRPr="00A21C90" w:rsidRDefault="00A15687" w:rsidP="00A21C90">
            <w:pPr>
              <w:rPr>
                <w:rFonts w:eastAsia="Times New Roman" w:cstheme="minorHAnsi"/>
                <w:color w:val="000000"/>
                <w:sz w:val="10"/>
                <w:szCs w:val="10"/>
                <w:lang w:val="en-GB" w:eastAsia="de-DE"/>
              </w:rPr>
            </w:pPr>
          </w:p>
        </w:tc>
        <w:tc>
          <w:tcPr>
            <w:tcW w:w="1134" w:type="dxa"/>
            <w:shd w:val="clear" w:color="auto" w:fill="auto"/>
            <w:vAlign w:val="bottom"/>
            <w:hideMark/>
          </w:tcPr>
          <w:p w14:paraId="3403EE46"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Analysis should include the perspective of service users and providers</w:t>
            </w:r>
          </w:p>
        </w:tc>
        <w:tc>
          <w:tcPr>
            <w:tcW w:w="1842" w:type="dxa"/>
            <w:shd w:val="clear" w:color="auto" w:fill="auto"/>
            <w:vAlign w:val="bottom"/>
            <w:hideMark/>
          </w:tcPr>
          <w:p w14:paraId="15D8CE65"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see specific challenges; future changes in equipment and transmission costs should be included in sensitivity analyses</w:t>
            </w:r>
          </w:p>
        </w:tc>
        <w:tc>
          <w:tcPr>
            <w:tcW w:w="709" w:type="dxa"/>
            <w:shd w:val="clear" w:color="auto" w:fill="auto"/>
            <w:vAlign w:val="bottom"/>
            <w:hideMark/>
          </w:tcPr>
          <w:p w14:paraId="3972BFCD" w14:textId="5A3BA1FF" w:rsidR="00A15687" w:rsidRPr="00A21C90" w:rsidRDefault="00A15687" w:rsidP="00A21C90">
            <w:pPr>
              <w:rPr>
                <w:rFonts w:eastAsia="Times New Roman" w:cstheme="minorHAnsi"/>
                <w:color w:val="000000"/>
                <w:sz w:val="10"/>
                <w:szCs w:val="10"/>
                <w:lang w:val="en-GB" w:eastAsia="de-DE"/>
              </w:rPr>
            </w:pPr>
          </w:p>
        </w:tc>
        <w:tc>
          <w:tcPr>
            <w:tcW w:w="851" w:type="dxa"/>
            <w:shd w:val="clear" w:color="auto" w:fill="auto"/>
            <w:vAlign w:val="bottom"/>
            <w:hideMark/>
          </w:tcPr>
          <w:p w14:paraId="0234DD6A"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1559" w:type="dxa"/>
            <w:shd w:val="clear" w:color="auto" w:fill="auto"/>
            <w:vAlign w:val="bottom"/>
            <w:hideMark/>
          </w:tcPr>
          <w:p w14:paraId="411ED8FD"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evidence on benefits of telemedicine is inconclusive so far</w:t>
            </w:r>
          </w:p>
        </w:tc>
        <w:tc>
          <w:tcPr>
            <w:tcW w:w="1984" w:type="dxa"/>
            <w:shd w:val="clear" w:color="auto" w:fill="auto"/>
            <w:vAlign w:val="bottom"/>
            <w:hideMark/>
          </w:tcPr>
          <w:p w14:paraId="57774591" w14:textId="77777777" w:rsidR="00A15687" w:rsidRPr="00A21C90" w:rsidRDefault="00A15687" w:rsidP="00A21C90">
            <w:pPr>
              <w:rPr>
                <w:rFonts w:eastAsia="Times New Roman" w:cstheme="minorHAnsi"/>
                <w:color w:val="000000"/>
                <w:sz w:val="10"/>
                <w:szCs w:val="10"/>
                <w:lang w:val="en-GB" w:eastAsia="de-DE"/>
              </w:rPr>
            </w:pPr>
          </w:p>
        </w:tc>
      </w:tr>
      <w:tr w:rsidR="00A15687" w:rsidRPr="00172FA8" w14:paraId="5AEB3C84" w14:textId="77777777" w:rsidTr="00124BEF">
        <w:trPr>
          <w:trHeight w:val="1232"/>
        </w:trPr>
        <w:tc>
          <w:tcPr>
            <w:tcW w:w="603" w:type="dxa"/>
            <w:shd w:val="clear" w:color="auto" w:fill="auto"/>
            <w:vAlign w:val="bottom"/>
            <w:hideMark/>
          </w:tcPr>
          <w:p w14:paraId="4255C8C8" w14:textId="2A351343"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McIntosh; Cairns</w:t>
            </w:r>
            <w:r w:rsidRPr="00172FA8">
              <w:rPr>
                <w:rFonts w:eastAsia="Times New Roman" w:cstheme="minorHAnsi"/>
                <w:color w:val="000000"/>
                <w:sz w:val="10"/>
                <w:szCs w:val="10"/>
                <w:lang w:val="en-GB" w:eastAsia="de-DE"/>
              </w:rPr>
              <w:t xml:space="preserve"> 1997</w:t>
            </w:r>
          </w:p>
        </w:tc>
        <w:tc>
          <w:tcPr>
            <w:tcW w:w="584" w:type="dxa"/>
            <w:shd w:val="clear" w:color="auto" w:fill="auto"/>
            <w:vAlign w:val="bottom"/>
            <w:hideMark/>
          </w:tcPr>
          <w:p w14:paraId="303CB44F"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telemedicine</w:t>
            </w:r>
          </w:p>
        </w:tc>
        <w:tc>
          <w:tcPr>
            <w:tcW w:w="509" w:type="dxa"/>
            <w:shd w:val="clear" w:color="auto" w:fill="auto"/>
            <w:vAlign w:val="bottom"/>
            <w:hideMark/>
          </w:tcPr>
          <w:p w14:paraId="23DE19DC" w14:textId="53357182"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Framework</w:t>
            </w:r>
          </w:p>
        </w:tc>
        <w:tc>
          <w:tcPr>
            <w:tcW w:w="2266" w:type="dxa"/>
            <w:shd w:val="clear" w:color="auto" w:fill="auto"/>
            <w:vAlign w:val="bottom"/>
            <w:hideMark/>
          </w:tcPr>
          <w:p w14:paraId="5977B0B1"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"(1) evaluation of constantly changing technology; (2) inadequate sample sizes; (3) limitations of the methodologies available for evaluation; (4) establishing an observable and empirical link between telemedicine and improved patient outcome; (5) inappropriateness of the conventional techniques of economic evaluation; (6) valuation of benefits, including non-health benefits, such as improvements in the process of care; (7) the short-term effects on infrastructure and organization may differ from the long-term effects. " (137)</w:t>
            </w:r>
          </w:p>
        </w:tc>
        <w:tc>
          <w:tcPr>
            <w:tcW w:w="711" w:type="dxa"/>
            <w:shd w:val="clear" w:color="auto" w:fill="auto"/>
            <w:vAlign w:val="bottom"/>
            <w:hideMark/>
          </w:tcPr>
          <w:p w14:paraId="5FC2548F"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no (CBA, CEA, CUA)</w:t>
            </w:r>
          </w:p>
        </w:tc>
        <w:tc>
          <w:tcPr>
            <w:tcW w:w="1276" w:type="dxa"/>
            <w:shd w:val="clear" w:color="auto" w:fill="auto"/>
            <w:vAlign w:val="bottom"/>
            <w:hideMark/>
          </w:tcPr>
          <w:p w14:paraId="3D32DF1F"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CCA (balance sheet - disaggregated costs and benefits); conjoint analysis for the valuation of non-health-benefits</w:t>
            </w:r>
          </w:p>
        </w:tc>
        <w:tc>
          <w:tcPr>
            <w:tcW w:w="709" w:type="dxa"/>
            <w:shd w:val="clear" w:color="auto" w:fill="auto"/>
            <w:vAlign w:val="bottom"/>
            <w:hideMark/>
          </w:tcPr>
          <w:p w14:paraId="63A674B0"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567" w:type="dxa"/>
            <w:shd w:val="clear" w:color="auto" w:fill="auto"/>
            <w:vAlign w:val="bottom"/>
            <w:hideMark/>
          </w:tcPr>
          <w:p w14:paraId="03D76845"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multidimensional outcomes</w:t>
            </w:r>
          </w:p>
        </w:tc>
        <w:tc>
          <w:tcPr>
            <w:tcW w:w="1134" w:type="dxa"/>
            <w:shd w:val="clear" w:color="auto" w:fill="auto"/>
            <w:vAlign w:val="bottom"/>
            <w:hideMark/>
          </w:tcPr>
          <w:p w14:paraId="032401D1" w14:textId="007D1341"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societal (differentiated by stakeholders)</w:t>
            </w:r>
          </w:p>
        </w:tc>
        <w:tc>
          <w:tcPr>
            <w:tcW w:w="1842" w:type="dxa"/>
            <w:shd w:val="clear" w:color="auto" w:fill="auto"/>
            <w:vAlign w:val="bottom"/>
            <w:hideMark/>
          </w:tcPr>
          <w:p w14:paraId="176664F4"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high capital costs, low costs for each additional service; costs are difficult to estimate due to changes in costs of technology</w:t>
            </w:r>
          </w:p>
        </w:tc>
        <w:tc>
          <w:tcPr>
            <w:tcW w:w="709" w:type="dxa"/>
            <w:shd w:val="clear" w:color="auto" w:fill="auto"/>
            <w:vAlign w:val="bottom"/>
            <w:hideMark/>
          </w:tcPr>
          <w:p w14:paraId="4E3B96B2"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equity/distribution of health care/access</w:t>
            </w:r>
          </w:p>
        </w:tc>
        <w:tc>
          <w:tcPr>
            <w:tcW w:w="851" w:type="dxa"/>
            <w:shd w:val="clear" w:color="auto" w:fill="auto"/>
            <w:vAlign w:val="bottom"/>
            <w:hideMark/>
          </w:tcPr>
          <w:p w14:paraId="5F110207"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559" w:type="dxa"/>
            <w:shd w:val="clear" w:color="auto" w:fill="auto"/>
            <w:vAlign w:val="bottom"/>
            <w:hideMark/>
          </w:tcPr>
          <w:p w14:paraId="2A87BECE"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non-health outcomes are more important than direct health outcomes (but more difficult to value)</w:t>
            </w:r>
          </w:p>
        </w:tc>
        <w:tc>
          <w:tcPr>
            <w:tcW w:w="1984" w:type="dxa"/>
            <w:shd w:val="clear" w:color="auto" w:fill="auto"/>
            <w:vAlign w:val="bottom"/>
            <w:hideMark/>
          </w:tcPr>
          <w:p w14:paraId="34AFACC5"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especially non-health outcomes: (1) improved quality of service, (2) transfer of skills, (3) speed of service, (4) education, (5) reassurance. </w:t>
            </w:r>
          </w:p>
        </w:tc>
      </w:tr>
      <w:tr w:rsidR="00A15687" w:rsidRPr="00172FA8" w14:paraId="6ADDF870" w14:textId="77777777" w:rsidTr="00124BEF">
        <w:trPr>
          <w:trHeight w:val="870"/>
        </w:trPr>
        <w:tc>
          <w:tcPr>
            <w:tcW w:w="603" w:type="dxa"/>
            <w:shd w:val="clear" w:color="auto" w:fill="auto"/>
            <w:vAlign w:val="bottom"/>
            <w:hideMark/>
          </w:tcPr>
          <w:p w14:paraId="23341087" w14:textId="5C0FB3F2"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Bongiovanni-</w:t>
            </w:r>
            <w:proofErr w:type="spellStart"/>
            <w:r w:rsidRPr="00A21C90">
              <w:rPr>
                <w:rFonts w:eastAsia="Times New Roman" w:cstheme="minorHAnsi"/>
                <w:color w:val="000000"/>
                <w:sz w:val="10"/>
                <w:szCs w:val="10"/>
                <w:lang w:val="en-GB" w:eastAsia="de-DE"/>
              </w:rPr>
              <w:t>Delarozière</w:t>
            </w:r>
            <w:proofErr w:type="spellEnd"/>
            <w:r w:rsidRPr="00A21C90">
              <w:rPr>
                <w:rFonts w:eastAsia="Times New Roman" w:cstheme="minorHAnsi"/>
                <w:color w:val="000000"/>
                <w:sz w:val="10"/>
                <w:szCs w:val="10"/>
                <w:lang w:val="en-GB" w:eastAsia="de-DE"/>
              </w:rPr>
              <w:t>; Le Goff-</w:t>
            </w:r>
            <w:proofErr w:type="spellStart"/>
            <w:r w:rsidRPr="00A21C90">
              <w:rPr>
                <w:rFonts w:eastAsia="Times New Roman" w:cstheme="minorHAnsi"/>
                <w:color w:val="000000"/>
                <w:sz w:val="10"/>
                <w:szCs w:val="10"/>
                <w:lang w:val="en-GB" w:eastAsia="de-DE"/>
              </w:rPr>
              <w:t>Pronost</w:t>
            </w:r>
            <w:proofErr w:type="spellEnd"/>
            <w:r w:rsidRPr="00172FA8">
              <w:rPr>
                <w:rFonts w:eastAsia="Times New Roman" w:cstheme="minorHAnsi"/>
                <w:color w:val="000000"/>
                <w:sz w:val="10"/>
                <w:szCs w:val="10"/>
                <w:lang w:val="en-GB" w:eastAsia="de-DE"/>
              </w:rPr>
              <w:t xml:space="preserve"> 2017</w:t>
            </w:r>
          </w:p>
        </w:tc>
        <w:tc>
          <w:tcPr>
            <w:tcW w:w="584" w:type="dxa"/>
            <w:shd w:val="clear" w:color="auto" w:fill="auto"/>
            <w:vAlign w:val="bottom"/>
            <w:hideMark/>
          </w:tcPr>
          <w:p w14:paraId="67A45405"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telemedicine</w:t>
            </w:r>
          </w:p>
        </w:tc>
        <w:tc>
          <w:tcPr>
            <w:tcW w:w="509" w:type="dxa"/>
            <w:shd w:val="clear" w:color="auto" w:fill="auto"/>
            <w:vAlign w:val="bottom"/>
            <w:hideMark/>
          </w:tcPr>
          <w:p w14:paraId="2638430C"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Review, Framework</w:t>
            </w:r>
          </w:p>
        </w:tc>
        <w:tc>
          <w:tcPr>
            <w:tcW w:w="2266" w:type="dxa"/>
            <w:shd w:val="clear" w:color="auto" w:fill="auto"/>
            <w:vAlign w:val="bottom"/>
            <w:hideMark/>
          </w:tcPr>
          <w:p w14:paraId="2BA96510"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fast technological changes: sustainability of applications, the availability of outcome and cost data, the generalizability of results; shortcomings of classical economic evaluation methods in capturing multiple impacts of an intervention; difficulties of evaluating the start-up phase of a new medical practice;</w:t>
            </w:r>
          </w:p>
        </w:tc>
        <w:tc>
          <w:tcPr>
            <w:tcW w:w="711" w:type="dxa"/>
            <w:shd w:val="clear" w:color="auto" w:fill="auto"/>
            <w:vAlign w:val="bottom"/>
            <w:hideMark/>
          </w:tcPr>
          <w:p w14:paraId="1C96E9FC"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partially </w:t>
            </w:r>
          </w:p>
        </w:tc>
        <w:tc>
          <w:tcPr>
            <w:tcW w:w="1276" w:type="dxa"/>
            <w:shd w:val="clear" w:color="auto" w:fill="auto"/>
            <w:vAlign w:val="bottom"/>
            <w:hideMark/>
          </w:tcPr>
          <w:p w14:paraId="649B33D9" w14:textId="301A6AB9"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multidimensional assessment framework, including an impact matrix, combining quantitative and qualitative measures;</w:t>
            </w:r>
            <w:r w:rsidR="00272640">
              <w:rPr>
                <w:rFonts w:eastAsia="Times New Roman" w:cstheme="minorHAnsi"/>
                <w:color w:val="000000"/>
                <w:sz w:val="10"/>
                <w:szCs w:val="10"/>
                <w:lang w:val="en-GB" w:eastAsia="de-DE"/>
              </w:rPr>
              <w:t xml:space="preserve"> </w:t>
            </w:r>
            <w:r w:rsidRPr="00A21C90">
              <w:rPr>
                <w:rFonts w:eastAsia="Times New Roman" w:cstheme="minorHAnsi"/>
                <w:color w:val="000000"/>
                <w:sz w:val="10"/>
                <w:szCs w:val="10"/>
                <w:lang w:val="en-GB" w:eastAsia="de-DE"/>
              </w:rPr>
              <w:t>CMA if hea</w:t>
            </w:r>
            <w:r w:rsidR="00272640">
              <w:rPr>
                <w:rFonts w:eastAsia="Times New Roman" w:cstheme="minorHAnsi"/>
                <w:color w:val="000000"/>
                <w:sz w:val="10"/>
                <w:szCs w:val="10"/>
                <w:lang w:val="en-GB" w:eastAsia="de-DE"/>
              </w:rPr>
              <w:t>l</w:t>
            </w:r>
            <w:r w:rsidRPr="00A21C90">
              <w:rPr>
                <w:rFonts w:eastAsia="Times New Roman" w:cstheme="minorHAnsi"/>
                <w:color w:val="000000"/>
                <w:sz w:val="10"/>
                <w:szCs w:val="10"/>
                <w:lang w:val="en-GB" w:eastAsia="de-DE"/>
              </w:rPr>
              <w:t>th effects are equivalent</w:t>
            </w:r>
          </w:p>
        </w:tc>
        <w:tc>
          <w:tcPr>
            <w:tcW w:w="709" w:type="dxa"/>
            <w:shd w:val="clear" w:color="auto" w:fill="auto"/>
            <w:vAlign w:val="bottom"/>
            <w:hideMark/>
          </w:tcPr>
          <w:p w14:paraId="3120FABA"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 (with limitations)</w:t>
            </w:r>
          </w:p>
        </w:tc>
        <w:tc>
          <w:tcPr>
            <w:tcW w:w="567" w:type="dxa"/>
            <w:shd w:val="clear" w:color="auto" w:fill="auto"/>
            <w:vAlign w:val="bottom"/>
            <w:hideMark/>
          </w:tcPr>
          <w:p w14:paraId="593F84D0"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134" w:type="dxa"/>
            <w:shd w:val="clear" w:color="auto" w:fill="auto"/>
            <w:vAlign w:val="bottom"/>
            <w:hideMark/>
          </w:tcPr>
          <w:p w14:paraId="7AC820EF"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all stakeholders (including the industry)</w:t>
            </w:r>
          </w:p>
        </w:tc>
        <w:tc>
          <w:tcPr>
            <w:tcW w:w="1842" w:type="dxa"/>
            <w:shd w:val="clear" w:color="auto" w:fill="auto"/>
            <w:vAlign w:val="bottom"/>
            <w:hideMark/>
          </w:tcPr>
          <w:p w14:paraId="6AA46AE1"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inclusion of all stakeholders</w:t>
            </w:r>
          </w:p>
        </w:tc>
        <w:tc>
          <w:tcPr>
            <w:tcW w:w="709" w:type="dxa"/>
            <w:shd w:val="clear" w:color="auto" w:fill="auto"/>
            <w:vAlign w:val="bottom"/>
            <w:hideMark/>
          </w:tcPr>
          <w:p w14:paraId="40A535E5"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accessibility, ethical and legal aspects</w:t>
            </w:r>
          </w:p>
        </w:tc>
        <w:tc>
          <w:tcPr>
            <w:tcW w:w="851" w:type="dxa"/>
            <w:shd w:val="clear" w:color="auto" w:fill="auto"/>
            <w:vAlign w:val="bottom"/>
            <w:hideMark/>
          </w:tcPr>
          <w:p w14:paraId="1D116B35"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559" w:type="dxa"/>
            <w:shd w:val="clear" w:color="auto" w:fill="auto"/>
            <w:vAlign w:val="bottom"/>
            <w:hideMark/>
          </w:tcPr>
          <w:p w14:paraId="404AA200" w14:textId="626DF230" w:rsidR="00A15687" w:rsidRPr="00A21C90" w:rsidRDefault="00272640"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multidimensional</w:t>
            </w:r>
            <w:r w:rsidR="00A15687" w:rsidRPr="00A21C90">
              <w:rPr>
                <w:rFonts w:eastAsia="Times New Roman" w:cstheme="minorHAnsi"/>
                <w:color w:val="000000"/>
                <w:sz w:val="10"/>
                <w:szCs w:val="10"/>
                <w:lang w:val="en-GB" w:eastAsia="de-DE"/>
              </w:rPr>
              <w:t xml:space="preserve"> outcomes should be assessed by an impact matrix, that differentiates four categories of outcome indicators and four target groups; quantitative and qualitative approaches can be combined in this matrix</w:t>
            </w:r>
          </w:p>
        </w:tc>
        <w:tc>
          <w:tcPr>
            <w:tcW w:w="1984" w:type="dxa"/>
            <w:shd w:val="clear" w:color="auto" w:fill="auto"/>
            <w:vAlign w:val="bottom"/>
            <w:hideMark/>
          </w:tcPr>
          <w:p w14:paraId="0A35BA5D" w14:textId="77777777" w:rsidR="00A15687" w:rsidRPr="00A21C90" w:rsidRDefault="00A15687" w:rsidP="00A21C90">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4 categories: accessibility; professional practice/care organisation; care quality/safety; and costs </w:t>
            </w:r>
            <w:r w:rsidRPr="00A21C90">
              <w:rPr>
                <w:rFonts w:eastAsia="Times New Roman" w:cstheme="minorHAnsi"/>
                <w:color w:val="000000"/>
                <w:sz w:val="10"/>
                <w:szCs w:val="10"/>
                <w:lang w:val="en-GB" w:eastAsia="de-DE"/>
              </w:rPr>
              <w:br/>
              <w:t>for 4 target groups: patients/family caregivers; health professionals; healthcare Institutions; government/health insurance/local authorities</w:t>
            </w:r>
          </w:p>
        </w:tc>
      </w:tr>
      <w:tr w:rsidR="00A15687" w:rsidRPr="00172FA8" w14:paraId="1B56E682" w14:textId="77777777" w:rsidTr="00124BEF">
        <w:trPr>
          <w:trHeight w:val="1300"/>
        </w:trPr>
        <w:tc>
          <w:tcPr>
            <w:tcW w:w="603" w:type="dxa"/>
            <w:shd w:val="clear" w:color="auto" w:fill="auto"/>
            <w:vAlign w:val="bottom"/>
          </w:tcPr>
          <w:p w14:paraId="61424474" w14:textId="3CE8A2CB" w:rsidR="00A15687" w:rsidRPr="00A21C90" w:rsidRDefault="00A15687" w:rsidP="00663C0B">
            <w:pPr>
              <w:rPr>
                <w:rFonts w:eastAsia="Times New Roman" w:cstheme="minorHAnsi"/>
                <w:color w:val="000000"/>
                <w:sz w:val="10"/>
                <w:szCs w:val="10"/>
                <w:lang w:val="en-GB" w:eastAsia="de-DE"/>
              </w:rPr>
            </w:pPr>
            <w:proofErr w:type="spellStart"/>
            <w:r w:rsidRPr="00A21C90">
              <w:rPr>
                <w:rFonts w:eastAsia="Times New Roman" w:cstheme="minorHAnsi"/>
                <w:color w:val="000000"/>
                <w:sz w:val="10"/>
                <w:szCs w:val="10"/>
                <w:lang w:val="en-GB" w:eastAsia="de-DE"/>
              </w:rPr>
              <w:t>Bergmo</w:t>
            </w:r>
            <w:proofErr w:type="spellEnd"/>
            <w:r w:rsidRPr="00172FA8">
              <w:rPr>
                <w:rFonts w:eastAsia="Times New Roman" w:cstheme="minorHAnsi"/>
                <w:color w:val="000000"/>
                <w:sz w:val="10"/>
                <w:szCs w:val="10"/>
                <w:lang w:val="en-GB" w:eastAsia="de-DE"/>
              </w:rPr>
              <w:t xml:space="preserve"> 2015</w:t>
            </w:r>
          </w:p>
        </w:tc>
        <w:tc>
          <w:tcPr>
            <w:tcW w:w="584" w:type="dxa"/>
            <w:shd w:val="clear" w:color="auto" w:fill="auto"/>
            <w:vAlign w:val="bottom"/>
          </w:tcPr>
          <w:p w14:paraId="4648EFE8" w14:textId="3E448858"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eHealth (ICT in health care)</w:t>
            </w:r>
          </w:p>
        </w:tc>
        <w:tc>
          <w:tcPr>
            <w:tcW w:w="509" w:type="dxa"/>
            <w:shd w:val="clear" w:color="auto" w:fill="auto"/>
            <w:vAlign w:val="bottom"/>
          </w:tcPr>
          <w:p w14:paraId="772861FB" w14:textId="662F5D20"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Tutorial</w:t>
            </w:r>
          </w:p>
        </w:tc>
        <w:tc>
          <w:tcPr>
            <w:tcW w:w="2266" w:type="dxa"/>
            <w:shd w:val="clear" w:color="auto" w:fill="auto"/>
            <w:vAlign w:val="bottom"/>
          </w:tcPr>
          <w:p w14:paraId="3DAAB34D" w14:textId="2D971890"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heterogeneity of the eHealth field: high diversity in technologies and applications, many different stakeholders; costs and </w:t>
            </w:r>
            <w:r w:rsidR="00272640" w:rsidRPr="00A21C90">
              <w:rPr>
                <w:rFonts w:eastAsia="Times New Roman" w:cstheme="minorHAnsi"/>
                <w:color w:val="000000"/>
                <w:sz w:val="10"/>
                <w:szCs w:val="10"/>
                <w:lang w:val="en-GB" w:eastAsia="de-DE"/>
              </w:rPr>
              <w:t>effectiveness</w:t>
            </w:r>
            <w:r w:rsidRPr="00A21C90">
              <w:rPr>
                <w:rFonts w:eastAsia="Times New Roman" w:cstheme="minorHAnsi"/>
                <w:color w:val="000000"/>
                <w:sz w:val="10"/>
                <w:szCs w:val="10"/>
                <w:lang w:val="en-GB" w:eastAsia="de-DE"/>
              </w:rPr>
              <w:t xml:space="preserve"> measures tend </w:t>
            </w:r>
            <w:proofErr w:type="spellStart"/>
            <w:r w:rsidRPr="00A21C90">
              <w:rPr>
                <w:rFonts w:eastAsia="Times New Roman" w:cstheme="minorHAnsi"/>
                <w:color w:val="000000"/>
                <w:sz w:val="10"/>
                <w:szCs w:val="10"/>
                <w:lang w:val="en-GB" w:eastAsia="de-DE"/>
              </w:rPr>
              <w:t>do</w:t>
            </w:r>
            <w:proofErr w:type="spellEnd"/>
            <w:r w:rsidRPr="00A21C90">
              <w:rPr>
                <w:rFonts w:eastAsia="Times New Roman" w:cstheme="minorHAnsi"/>
                <w:color w:val="000000"/>
                <w:sz w:val="10"/>
                <w:szCs w:val="10"/>
                <w:lang w:val="en-GB" w:eastAsia="de-DE"/>
              </w:rPr>
              <w:t xml:space="preserve"> be multifaceted, </w:t>
            </w:r>
            <w:r w:rsidR="00272640" w:rsidRPr="00A21C90">
              <w:rPr>
                <w:rFonts w:eastAsia="Times New Roman" w:cstheme="minorHAnsi"/>
                <w:color w:val="000000"/>
                <w:sz w:val="10"/>
                <w:szCs w:val="10"/>
                <w:lang w:val="en-GB" w:eastAsia="de-DE"/>
              </w:rPr>
              <w:t>involve</w:t>
            </w:r>
            <w:r w:rsidRPr="00A21C90">
              <w:rPr>
                <w:rFonts w:eastAsia="Times New Roman" w:cstheme="minorHAnsi"/>
                <w:color w:val="000000"/>
                <w:sz w:val="10"/>
                <w:szCs w:val="10"/>
                <w:lang w:val="en-GB" w:eastAsia="de-DE"/>
              </w:rPr>
              <w:t xml:space="preserve"> a wide range of effects on patients HC providers and society; generalizability of results is often limited (specificity of interventions) ; rapid development in the field limit generalizability; interventions are situated in complex systems that have the tendency to change, be self-organizing, be sensitive to initial conditions, and to behave in a nonlinear fashion</w:t>
            </w:r>
          </w:p>
        </w:tc>
        <w:tc>
          <w:tcPr>
            <w:tcW w:w="711" w:type="dxa"/>
            <w:shd w:val="clear" w:color="auto" w:fill="auto"/>
            <w:vAlign w:val="bottom"/>
          </w:tcPr>
          <w:p w14:paraId="58AD603F" w14:textId="595AB4AE"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276" w:type="dxa"/>
            <w:shd w:val="clear" w:color="auto" w:fill="auto"/>
            <w:vAlign w:val="bottom"/>
          </w:tcPr>
          <w:p w14:paraId="0E523179" w14:textId="07D24FDB"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adequate use of standard methodology is necessary, transparency in reporting the methodology is important to ensure comparability; costs and outcomes should be reported both at baseline and at every follow-up interval</w:t>
            </w:r>
          </w:p>
        </w:tc>
        <w:tc>
          <w:tcPr>
            <w:tcW w:w="709" w:type="dxa"/>
            <w:shd w:val="clear" w:color="auto" w:fill="auto"/>
            <w:vAlign w:val="bottom"/>
          </w:tcPr>
          <w:p w14:paraId="0240A79B" w14:textId="7F7BC7CC"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no (</w:t>
            </w:r>
            <w:r w:rsidR="00272640" w:rsidRPr="00A21C90">
              <w:rPr>
                <w:rFonts w:eastAsia="Times New Roman" w:cstheme="minorHAnsi"/>
                <w:color w:val="000000"/>
                <w:sz w:val="10"/>
                <w:szCs w:val="10"/>
                <w:lang w:val="en-GB" w:eastAsia="de-DE"/>
              </w:rPr>
              <w:t>naturalistic</w:t>
            </w:r>
            <w:r w:rsidRPr="00A21C90">
              <w:rPr>
                <w:rFonts w:eastAsia="Times New Roman" w:cstheme="minorHAnsi"/>
                <w:color w:val="000000"/>
                <w:sz w:val="10"/>
                <w:szCs w:val="10"/>
                <w:lang w:val="en-GB" w:eastAsia="de-DE"/>
              </w:rPr>
              <w:t xml:space="preserve"> trials = gold standard)</w:t>
            </w:r>
          </w:p>
        </w:tc>
        <w:tc>
          <w:tcPr>
            <w:tcW w:w="567" w:type="dxa"/>
            <w:shd w:val="clear" w:color="auto" w:fill="auto"/>
            <w:vAlign w:val="bottom"/>
          </w:tcPr>
          <w:p w14:paraId="056AA514" w14:textId="15192AD5"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134" w:type="dxa"/>
            <w:shd w:val="clear" w:color="auto" w:fill="auto"/>
            <w:vAlign w:val="bottom"/>
          </w:tcPr>
          <w:p w14:paraId="5965D4C0" w14:textId="17B73F69"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societal or health provider</w:t>
            </w:r>
          </w:p>
        </w:tc>
        <w:tc>
          <w:tcPr>
            <w:tcW w:w="1842" w:type="dxa"/>
            <w:shd w:val="clear" w:color="auto" w:fill="auto"/>
            <w:vAlign w:val="bottom"/>
          </w:tcPr>
          <w:p w14:paraId="329FBD11" w14:textId="2FF76FC4"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finding appropriate cost weights and prices can be challenging (</w:t>
            </w:r>
            <w:r w:rsidR="00272640" w:rsidRPr="00A21C90">
              <w:rPr>
                <w:rFonts w:eastAsia="Times New Roman" w:cstheme="minorHAnsi"/>
                <w:color w:val="000000"/>
                <w:sz w:val="10"/>
                <w:szCs w:val="10"/>
                <w:lang w:val="en-GB" w:eastAsia="de-DE"/>
              </w:rPr>
              <w:t>rapidly</w:t>
            </w:r>
            <w:r w:rsidRPr="00A21C90">
              <w:rPr>
                <w:rFonts w:eastAsia="Times New Roman" w:cstheme="minorHAnsi"/>
                <w:color w:val="000000"/>
                <w:sz w:val="10"/>
                <w:szCs w:val="10"/>
                <w:lang w:val="en-GB" w:eastAsia="de-DE"/>
              </w:rPr>
              <w:t xml:space="preserve"> changing technology and prices); quantities of resources and cost weight should be reported </w:t>
            </w:r>
            <w:r w:rsidR="00272640" w:rsidRPr="00A21C90">
              <w:rPr>
                <w:rFonts w:eastAsia="Times New Roman" w:cstheme="minorHAnsi"/>
                <w:color w:val="000000"/>
                <w:sz w:val="10"/>
                <w:szCs w:val="10"/>
                <w:lang w:val="en-GB" w:eastAsia="de-DE"/>
              </w:rPr>
              <w:t>separately</w:t>
            </w:r>
            <w:r w:rsidRPr="00A21C90">
              <w:rPr>
                <w:rFonts w:eastAsia="Times New Roman" w:cstheme="minorHAnsi"/>
                <w:color w:val="000000"/>
                <w:sz w:val="10"/>
                <w:szCs w:val="10"/>
                <w:lang w:val="en-GB" w:eastAsia="de-DE"/>
              </w:rPr>
              <w:t xml:space="preserve"> to facilitate transferability in other contexts; the costs of supporting the health care providers in using the eHealth interventions should be included; </w:t>
            </w:r>
          </w:p>
        </w:tc>
        <w:tc>
          <w:tcPr>
            <w:tcW w:w="709" w:type="dxa"/>
            <w:shd w:val="clear" w:color="auto" w:fill="auto"/>
            <w:vAlign w:val="bottom"/>
          </w:tcPr>
          <w:p w14:paraId="3524FD8F" w14:textId="77777777" w:rsidR="00A15687" w:rsidRPr="00A21C90" w:rsidRDefault="00A15687" w:rsidP="00663C0B">
            <w:pPr>
              <w:rPr>
                <w:rFonts w:eastAsia="Times New Roman" w:cstheme="minorHAnsi"/>
                <w:color w:val="000000"/>
                <w:sz w:val="10"/>
                <w:szCs w:val="10"/>
                <w:lang w:val="en-GB" w:eastAsia="de-DE"/>
              </w:rPr>
            </w:pPr>
          </w:p>
        </w:tc>
        <w:tc>
          <w:tcPr>
            <w:tcW w:w="851" w:type="dxa"/>
            <w:shd w:val="clear" w:color="auto" w:fill="auto"/>
            <w:vAlign w:val="bottom"/>
          </w:tcPr>
          <w:p w14:paraId="67201C41" w14:textId="50795DCC" w:rsidR="00A15687" w:rsidRPr="00A21C90" w:rsidRDefault="00A15687" w:rsidP="00663C0B">
            <w:pPr>
              <w:rPr>
                <w:rFonts w:eastAsia="Times New Roman" w:cstheme="minorHAnsi"/>
                <w:color w:val="000000"/>
                <w:sz w:val="10"/>
                <w:szCs w:val="10"/>
                <w:lang w:val="en-GB" w:eastAsia="de-DE"/>
              </w:rPr>
            </w:pPr>
          </w:p>
        </w:tc>
        <w:tc>
          <w:tcPr>
            <w:tcW w:w="1559" w:type="dxa"/>
            <w:shd w:val="clear" w:color="auto" w:fill="auto"/>
            <w:vAlign w:val="bottom"/>
          </w:tcPr>
          <w:p w14:paraId="55E8EA7D" w14:textId="718BE6DA"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choosing one outcome measure for the CEA/CUA can miss important benefits; measurement and valuation of non</w:t>
            </w:r>
            <w:r w:rsidR="00272640">
              <w:rPr>
                <w:rFonts w:eastAsia="Times New Roman" w:cstheme="minorHAnsi"/>
                <w:color w:val="000000"/>
                <w:sz w:val="10"/>
                <w:szCs w:val="10"/>
                <w:lang w:val="en-GB" w:eastAsia="de-DE"/>
              </w:rPr>
              <w:t>-</w:t>
            </w:r>
            <w:r w:rsidRPr="00A21C90">
              <w:rPr>
                <w:rFonts w:eastAsia="Times New Roman" w:cstheme="minorHAnsi"/>
                <w:color w:val="000000"/>
                <w:sz w:val="10"/>
                <w:szCs w:val="10"/>
                <w:lang w:val="en-GB" w:eastAsia="de-DE"/>
              </w:rPr>
              <w:t>health consequences may be difficult (</w:t>
            </w:r>
            <w:r w:rsidR="007A2EE3" w:rsidRPr="00A21C90">
              <w:rPr>
                <w:rFonts w:eastAsia="Times New Roman" w:cstheme="minorHAnsi"/>
                <w:color w:val="000000"/>
                <w:sz w:val="10"/>
                <w:szCs w:val="10"/>
                <w:lang w:val="en-GB" w:eastAsia="de-DE"/>
              </w:rPr>
              <w:t>e.g.,</w:t>
            </w:r>
            <w:r w:rsidRPr="00A21C90">
              <w:rPr>
                <w:rFonts w:eastAsia="Times New Roman" w:cstheme="minorHAnsi"/>
                <w:color w:val="000000"/>
                <w:sz w:val="10"/>
                <w:szCs w:val="10"/>
                <w:lang w:val="en-GB" w:eastAsia="de-DE"/>
              </w:rPr>
              <w:t xml:space="preserve"> feelings of security, value of information, transfer of skill);</w:t>
            </w:r>
            <w:r w:rsidRPr="00A21C90">
              <w:rPr>
                <w:rFonts w:eastAsia="Times New Roman" w:cstheme="minorHAnsi"/>
                <w:color w:val="548235"/>
                <w:sz w:val="10"/>
                <w:szCs w:val="10"/>
                <w:lang w:val="en-GB" w:eastAsia="de-DE"/>
              </w:rPr>
              <w:t xml:space="preserve"> </w:t>
            </w:r>
          </w:p>
        </w:tc>
        <w:tc>
          <w:tcPr>
            <w:tcW w:w="1984" w:type="dxa"/>
            <w:shd w:val="clear" w:color="auto" w:fill="auto"/>
            <w:vAlign w:val="bottom"/>
          </w:tcPr>
          <w:p w14:paraId="6378A76F" w14:textId="517243F6"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depends on the perspective, which and whose benefits to include is a normative issue and has to be decided in each specific evaluation</w:t>
            </w:r>
          </w:p>
        </w:tc>
      </w:tr>
      <w:tr w:rsidR="00A15687" w:rsidRPr="00172FA8" w14:paraId="5D9CF3D0" w14:textId="77777777" w:rsidTr="00124BEF">
        <w:trPr>
          <w:trHeight w:val="1259"/>
        </w:trPr>
        <w:tc>
          <w:tcPr>
            <w:tcW w:w="603" w:type="dxa"/>
            <w:shd w:val="clear" w:color="auto" w:fill="auto"/>
            <w:vAlign w:val="bottom"/>
            <w:hideMark/>
          </w:tcPr>
          <w:p w14:paraId="5BD3F570" w14:textId="5320676A"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McNamee</w:t>
            </w:r>
            <w:r w:rsidRPr="00172FA8">
              <w:rPr>
                <w:rFonts w:eastAsia="Times New Roman" w:cstheme="minorHAnsi"/>
                <w:color w:val="000000"/>
                <w:sz w:val="10"/>
                <w:szCs w:val="10"/>
                <w:lang w:val="en-GB" w:eastAsia="de-DE"/>
              </w:rPr>
              <w:t xml:space="preserve"> et al. 2016 </w:t>
            </w:r>
          </w:p>
        </w:tc>
        <w:tc>
          <w:tcPr>
            <w:tcW w:w="584" w:type="dxa"/>
            <w:shd w:val="clear" w:color="auto" w:fill="auto"/>
            <w:vAlign w:val="bottom"/>
            <w:hideMark/>
          </w:tcPr>
          <w:p w14:paraId="572037DD" w14:textId="4E259789"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digital health </w:t>
            </w:r>
            <w:r w:rsidRPr="00172FA8">
              <w:rPr>
                <w:rFonts w:eastAsia="Times New Roman" w:cstheme="minorHAnsi"/>
                <w:color w:val="000000"/>
                <w:sz w:val="10"/>
                <w:szCs w:val="10"/>
                <w:lang w:val="en-GB" w:eastAsia="de-DE"/>
              </w:rPr>
              <w:t>in</w:t>
            </w:r>
            <w:r w:rsidRPr="00A21C90">
              <w:rPr>
                <w:rFonts w:eastAsia="Times New Roman" w:cstheme="minorHAnsi"/>
                <w:color w:val="000000"/>
                <w:sz w:val="10"/>
                <w:szCs w:val="10"/>
                <w:lang w:val="en-GB" w:eastAsia="de-DE"/>
              </w:rPr>
              <w:t xml:space="preserve">terventions </w:t>
            </w:r>
          </w:p>
        </w:tc>
        <w:tc>
          <w:tcPr>
            <w:tcW w:w="509" w:type="dxa"/>
            <w:shd w:val="clear" w:color="auto" w:fill="auto"/>
            <w:vAlign w:val="bottom"/>
            <w:hideMark/>
          </w:tcPr>
          <w:p w14:paraId="0A0C0975"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Discussion</w:t>
            </w:r>
          </w:p>
        </w:tc>
        <w:tc>
          <w:tcPr>
            <w:tcW w:w="2266" w:type="dxa"/>
            <w:shd w:val="clear" w:color="auto" w:fill="auto"/>
            <w:vAlign w:val="bottom"/>
            <w:hideMark/>
          </w:tcPr>
          <w:p w14:paraId="188F57A7" w14:textId="7AD6A296"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complex interventions in complex systems require more refined economic evaluation tools and methods; different possible aspects of complexity: intervention complexity (multiple interacting components, interventions change over time), outcomes complexity (spill-overs/externalities, feedback-loops); causal pathway complexity; effectiveness may depend on spread via social networks; selection of an appropriate </w:t>
            </w:r>
            <w:r w:rsidR="00272640" w:rsidRPr="00A21C90">
              <w:rPr>
                <w:rFonts w:eastAsia="Times New Roman" w:cstheme="minorHAnsi"/>
                <w:color w:val="000000"/>
                <w:sz w:val="10"/>
                <w:szCs w:val="10"/>
                <w:lang w:val="en-GB" w:eastAsia="de-DE"/>
              </w:rPr>
              <w:t>modelling</w:t>
            </w:r>
            <w:r w:rsidRPr="00A21C90">
              <w:rPr>
                <w:rFonts w:eastAsia="Times New Roman" w:cstheme="minorHAnsi"/>
                <w:color w:val="000000"/>
                <w:sz w:val="10"/>
                <w:szCs w:val="10"/>
                <w:lang w:val="en-GB" w:eastAsia="de-DE"/>
              </w:rPr>
              <w:t xml:space="preserve"> framework; </w:t>
            </w:r>
            <w:r w:rsidRPr="00A21C90">
              <w:rPr>
                <w:rFonts w:eastAsia="Times New Roman" w:cstheme="minorHAnsi"/>
                <w:color w:val="000000"/>
                <w:sz w:val="10"/>
                <w:szCs w:val="10"/>
                <w:lang w:val="en-GB" w:eastAsia="de-DE"/>
              </w:rPr>
              <w:br/>
              <w:t>product reach and future costs of updating are  highly unpredictable, and may be affected by regulatory changes</w:t>
            </w:r>
          </w:p>
        </w:tc>
        <w:tc>
          <w:tcPr>
            <w:tcW w:w="711" w:type="dxa"/>
            <w:shd w:val="clear" w:color="auto" w:fill="auto"/>
            <w:vAlign w:val="bottom"/>
            <w:hideMark/>
          </w:tcPr>
          <w:p w14:paraId="4E225FEF"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partially</w:t>
            </w:r>
          </w:p>
        </w:tc>
        <w:tc>
          <w:tcPr>
            <w:tcW w:w="1276" w:type="dxa"/>
            <w:shd w:val="clear" w:color="auto" w:fill="auto"/>
            <w:vAlign w:val="bottom"/>
            <w:hideMark/>
          </w:tcPr>
          <w:p w14:paraId="17C72B7E"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type of method depends on research question and on the extent of interaction between intervention and system/setting or individuals; agent-based modelling approaches; decision theoretic approaches, social network analysis</w:t>
            </w:r>
          </w:p>
        </w:tc>
        <w:tc>
          <w:tcPr>
            <w:tcW w:w="709" w:type="dxa"/>
            <w:shd w:val="clear" w:color="auto" w:fill="auto"/>
            <w:vAlign w:val="bottom"/>
            <w:hideMark/>
          </w:tcPr>
          <w:p w14:paraId="4EDC482E"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not always appropriate</w:t>
            </w:r>
          </w:p>
        </w:tc>
        <w:tc>
          <w:tcPr>
            <w:tcW w:w="567" w:type="dxa"/>
            <w:shd w:val="clear" w:color="auto" w:fill="auto"/>
            <w:vAlign w:val="bottom"/>
            <w:hideMark/>
          </w:tcPr>
          <w:p w14:paraId="73C9EA85" w14:textId="77777777" w:rsidR="00A15687" w:rsidRPr="00A21C90" w:rsidRDefault="00A15687" w:rsidP="00663C0B">
            <w:pPr>
              <w:rPr>
                <w:rFonts w:eastAsia="Times New Roman" w:cstheme="minorHAnsi"/>
                <w:color w:val="000000"/>
                <w:sz w:val="10"/>
                <w:szCs w:val="10"/>
                <w:lang w:val="en-GB" w:eastAsia="de-DE"/>
              </w:rPr>
            </w:pPr>
          </w:p>
        </w:tc>
        <w:tc>
          <w:tcPr>
            <w:tcW w:w="1134" w:type="dxa"/>
            <w:shd w:val="clear" w:color="auto" w:fill="auto"/>
            <w:vAlign w:val="bottom"/>
            <w:hideMark/>
          </w:tcPr>
          <w:p w14:paraId="675796DC"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no recommendation (depends on intervention)</w:t>
            </w:r>
          </w:p>
        </w:tc>
        <w:tc>
          <w:tcPr>
            <w:tcW w:w="1842" w:type="dxa"/>
            <w:shd w:val="clear" w:color="auto" w:fill="auto"/>
            <w:vAlign w:val="bottom"/>
            <w:hideMark/>
          </w:tcPr>
          <w:p w14:paraId="26435EF9"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often high development costs and low maintenance costs; most DHIs require updates to remain 'the same'; many interventions evolve unpredictably over time; </w:t>
            </w:r>
          </w:p>
        </w:tc>
        <w:tc>
          <w:tcPr>
            <w:tcW w:w="709" w:type="dxa"/>
            <w:shd w:val="clear" w:color="auto" w:fill="auto"/>
            <w:vAlign w:val="bottom"/>
            <w:hideMark/>
          </w:tcPr>
          <w:p w14:paraId="019F4343"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851" w:type="dxa"/>
            <w:shd w:val="clear" w:color="auto" w:fill="auto"/>
            <w:vAlign w:val="bottom"/>
            <w:hideMark/>
          </w:tcPr>
          <w:p w14:paraId="55E41BC8"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1559" w:type="dxa"/>
            <w:shd w:val="clear" w:color="auto" w:fill="auto"/>
            <w:vAlign w:val="bottom"/>
            <w:hideMark/>
          </w:tcPr>
          <w:p w14:paraId="2B0ABB93" w14:textId="5B102D01"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some guidelines recommend surrogate measures for interventions that generate long-term effects - these may not be </w:t>
            </w:r>
            <w:r w:rsidR="00272640" w:rsidRPr="00A21C90">
              <w:rPr>
                <w:rFonts w:eastAsia="Times New Roman" w:cstheme="minorHAnsi"/>
                <w:color w:val="000000"/>
                <w:sz w:val="10"/>
                <w:szCs w:val="10"/>
                <w:lang w:val="en-GB" w:eastAsia="de-DE"/>
              </w:rPr>
              <w:t>sufficient</w:t>
            </w:r>
            <w:r w:rsidRPr="00A21C90">
              <w:rPr>
                <w:rFonts w:eastAsia="Times New Roman" w:cstheme="minorHAnsi"/>
                <w:color w:val="000000"/>
                <w:sz w:val="10"/>
                <w:szCs w:val="10"/>
                <w:lang w:val="en-GB" w:eastAsia="de-DE"/>
              </w:rPr>
              <w:t xml:space="preserve"> for DHIs that may adapt or change over time; relationship to 'final' measures is not well established</w:t>
            </w:r>
          </w:p>
        </w:tc>
        <w:tc>
          <w:tcPr>
            <w:tcW w:w="1984" w:type="dxa"/>
            <w:shd w:val="clear" w:color="auto" w:fill="auto"/>
            <w:vAlign w:val="bottom"/>
            <w:hideMark/>
          </w:tcPr>
          <w:p w14:paraId="55CAB544" w14:textId="24350126"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depend on the intervention; safety aspects (intentional and </w:t>
            </w:r>
            <w:r w:rsidR="00272640" w:rsidRPr="00A21C90">
              <w:rPr>
                <w:rFonts w:eastAsia="Times New Roman" w:cstheme="minorHAnsi"/>
                <w:color w:val="000000"/>
                <w:sz w:val="10"/>
                <w:szCs w:val="10"/>
                <w:lang w:val="en-GB" w:eastAsia="de-DE"/>
              </w:rPr>
              <w:t>unintentional</w:t>
            </w:r>
            <w:r w:rsidRPr="00A21C90">
              <w:rPr>
                <w:rFonts w:eastAsia="Times New Roman" w:cstheme="minorHAnsi"/>
                <w:color w:val="000000"/>
                <w:sz w:val="10"/>
                <w:szCs w:val="10"/>
                <w:lang w:val="en-GB" w:eastAsia="de-DE"/>
              </w:rPr>
              <w:t xml:space="preserve"> harms) have to be considered (</w:t>
            </w:r>
            <w:proofErr w:type="gramStart"/>
            <w:r w:rsidRPr="00A21C90">
              <w:rPr>
                <w:rFonts w:eastAsia="Times New Roman" w:cstheme="minorHAnsi"/>
                <w:color w:val="000000"/>
                <w:sz w:val="10"/>
                <w:szCs w:val="10"/>
                <w:lang w:val="en-GB" w:eastAsia="de-DE"/>
              </w:rPr>
              <w:t>i.e.</w:t>
            </w:r>
            <w:proofErr w:type="gramEnd"/>
            <w:r w:rsidRPr="00A21C90">
              <w:rPr>
                <w:rFonts w:eastAsia="Times New Roman" w:cstheme="minorHAnsi"/>
                <w:color w:val="000000"/>
                <w:sz w:val="10"/>
                <w:szCs w:val="10"/>
                <w:lang w:val="en-GB" w:eastAsia="de-DE"/>
              </w:rPr>
              <w:t xml:space="preserve"> outdated information in apps)</w:t>
            </w:r>
          </w:p>
        </w:tc>
      </w:tr>
      <w:tr w:rsidR="00A15687" w:rsidRPr="00172FA8" w14:paraId="67E1FF63" w14:textId="77777777" w:rsidTr="00124BEF">
        <w:trPr>
          <w:trHeight w:val="550"/>
        </w:trPr>
        <w:tc>
          <w:tcPr>
            <w:tcW w:w="603" w:type="dxa"/>
            <w:shd w:val="clear" w:color="auto" w:fill="auto"/>
            <w:noWrap/>
            <w:vAlign w:val="bottom"/>
            <w:hideMark/>
          </w:tcPr>
          <w:p w14:paraId="33623016" w14:textId="65DC660D"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lastRenderedPageBreak/>
              <w:t>Crowe; Hailey; Carter</w:t>
            </w:r>
            <w:r w:rsidRPr="00172FA8">
              <w:rPr>
                <w:rFonts w:eastAsia="Times New Roman" w:cstheme="minorHAnsi"/>
                <w:color w:val="000000"/>
                <w:sz w:val="10"/>
                <w:szCs w:val="10"/>
                <w:lang w:val="en-GB" w:eastAsia="de-DE"/>
              </w:rPr>
              <w:t xml:space="preserve"> 1992</w:t>
            </w:r>
          </w:p>
        </w:tc>
        <w:tc>
          <w:tcPr>
            <w:tcW w:w="584" w:type="dxa"/>
            <w:shd w:val="clear" w:color="auto" w:fill="auto"/>
            <w:vAlign w:val="bottom"/>
            <w:hideMark/>
          </w:tcPr>
          <w:p w14:paraId="3B9D2ACA"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digital radiology systems</w:t>
            </w:r>
          </w:p>
        </w:tc>
        <w:tc>
          <w:tcPr>
            <w:tcW w:w="509" w:type="dxa"/>
            <w:shd w:val="clear" w:color="auto" w:fill="auto"/>
            <w:vAlign w:val="bottom"/>
            <w:hideMark/>
          </w:tcPr>
          <w:p w14:paraId="177F6B91"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Discussion</w:t>
            </w:r>
          </w:p>
        </w:tc>
        <w:tc>
          <w:tcPr>
            <w:tcW w:w="2266" w:type="dxa"/>
            <w:shd w:val="clear" w:color="auto" w:fill="auto"/>
            <w:vAlign w:val="bottom"/>
            <w:hideMark/>
          </w:tcPr>
          <w:p w14:paraId="64BCE5B1"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few attempts so far do examine intangible effects (</w:t>
            </w:r>
            <w:proofErr w:type="gramStart"/>
            <w:r w:rsidRPr="00A21C90">
              <w:rPr>
                <w:rFonts w:eastAsia="Times New Roman" w:cstheme="minorHAnsi"/>
                <w:color w:val="000000"/>
                <w:sz w:val="10"/>
                <w:szCs w:val="10"/>
                <w:lang w:val="en-GB" w:eastAsia="de-DE"/>
              </w:rPr>
              <w:t>i.e.</w:t>
            </w:r>
            <w:proofErr w:type="gramEnd"/>
            <w:r w:rsidRPr="00A21C90">
              <w:rPr>
                <w:rFonts w:eastAsia="Times New Roman" w:cstheme="minorHAnsi"/>
                <w:color w:val="000000"/>
                <w:sz w:val="10"/>
                <w:szCs w:val="10"/>
                <w:lang w:val="en-GB" w:eastAsia="de-DE"/>
              </w:rPr>
              <w:t xml:space="preserve"> with respect to new types of staff and infrastructure), diverse range of stakeholders with different benefits/costs; studies on effectiveness of the systems have been inconclusive so far</w:t>
            </w:r>
          </w:p>
        </w:tc>
        <w:tc>
          <w:tcPr>
            <w:tcW w:w="711" w:type="dxa"/>
            <w:shd w:val="clear" w:color="auto" w:fill="auto"/>
            <w:vAlign w:val="bottom"/>
            <w:hideMark/>
          </w:tcPr>
          <w:p w14:paraId="3DC4B64E"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partially</w:t>
            </w:r>
          </w:p>
        </w:tc>
        <w:tc>
          <w:tcPr>
            <w:tcW w:w="1276" w:type="dxa"/>
            <w:shd w:val="clear" w:color="auto" w:fill="auto"/>
            <w:vAlign w:val="bottom"/>
            <w:hideMark/>
          </w:tcPr>
          <w:p w14:paraId="3E92A39B"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cost-benefit and social audit analysis techniques</w:t>
            </w:r>
          </w:p>
        </w:tc>
        <w:tc>
          <w:tcPr>
            <w:tcW w:w="709" w:type="dxa"/>
            <w:shd w:val="clear" w:color="auto" w:fill="auto"/>
            <w:vAlign w:val="bottom"/>
            <w:hideMark/>
          </w:tcPr>
          <w:p w14:paraId="1A9B3FE9"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567" w:type="dxa"/>
            <w:shd w:val="clear" w:color="auto" w:fill="auto"/>
            <w:vAlign w:val="bottom"/>
            <w:hideMark/>
          </w:tcPr>
          <w:p w14:paraId="50EF95E0"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134" w:type="dxa"/>
            <w:shd w:val="clear" w:color="auto" w:fill="auto"/>
            <w:vAlign w:val="bottom"/>
            <w:hideMark/>
          </w:tcPr>
          <w:p w14:paraId="778664ED"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multistakeholder-perspective (differentiated by the different parties involved)</w:t>
            </w:r>
          </w:p>
        </w:tc>
        <w:tc>
          <w:tcPr>
            <w:tcW w:w="1842" w:type="dxa"/>
            <w:shd w:val="clear" w:color="auto" w:fill="auto"/>
            <w:vAlign w:val="bottom"/>
            <w:hideMark/>
          </w:tcPr>
          <w:p w14:paraId="79DAC15E"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intangible cost implications through new types of staff and infrastructure; (</w:t>
            </w:r>
            <w:proofErr w:type="gramStart"/>
            <w:r w:rsidRPr="00A21C90">
              <w:rPr>
                <w:rFonts w:eastAsia="Times New Roman" w:cstheme="minorHAnsi"/>
                <w:color w:val="000000"/>
                <w:sz w:val="10"/>
                <w:szCs w:val="10"/>
                <w:lang w:val="en-GB" w:eastAsia="de-DE"/>
              </w:rPr>
              <w:t>i.e.</w:t>
            </w:r>
            <w:proofErr w:type="gramEnd"/>
            <w:r w:rsidRPr="00A21C90">
              <w:rPr>
                <w:rFonts w:eastAsia="Times New Roman" w:cstheme="minorHAnsi"/>
                <w:color w:val="000000"/>
                <w:sz w:val="10"/>
                <w:szCs w:val="10"/>
                <w:lang w:val="en-GB" w:eastAsia="de-DE"/>
              </w:rPr>
              <w:t xml:space="preserve"> staff morale); costs to provide a secure operating environment are still unclear </w:t>
            </w:r>
          </w:p>
        </w:tc>
        <w:tc>
          <w:tcPr>
            <w:tcW w:w="709" w:type="dxa"/>
            <w:shd w:val="clear" w:color="auto" w:fill="auto"/>
            <w:vAlign w:val="bottom"/>
            <w:hideMark/>
          </w:tcPr>
          <w:p w14:paraId="58393B4B"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equity, distributional consequences  </w:t>
            </w:r>
          </w:p>
        </w:tc>
        <w:tc>
          <w:tcPr>
            <w:tcW w:w="851" w:type="dxa"/>
            <w:shd w:val="clear" w:color="auto" w:fill="auto"/>
            <w:vAlign w:val="bottom"/>
            <w:hideMark/>
          </w:tcPr>
          <w:p w14:paraId="26A487BC"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 (social audit analysis)</w:t>
            </w:r>
          </w:p>
        </w:tc>
        <w:tc>
          <w:tcPr>
            <w:tcW w:w="1559" w:type="dxa"/>
            <w:shd w:val="clear" w:color="auto" w:fill="auto"/>
            <w:vAlign w:val="bottom"/>
            <w:hideMark/>
          </w:tcPr>
          <w:p w14:paraId="10F808D2" w14:textId="4811B9F6"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intangible benefits have to </w:t>
            </w:r>
            <w:r w:rsidR="007A2EE3" w:rsidRPr="00A21C90">
              <w:rPr>
                <w:rFonts w:eastAsia="Times New Roman" w:cstheme="minorHAnsi"/>
                <w:color w:val="000000"/>
                <w:sz w:val="10"/>
                <w:szCs w:val="10"/>
                <w:lang w:val="en-GB" w:eastAsia="de-DE"/>
              </w:rPr>
              <w:t>be considered;</w:t>
            </w:r>
            <w:r w:rsidRPr="00A21C90">
              <w:rPr>
                <w:rFonts w:eastAsia="Times New Roman" w:cstheme="minorHAnsi"/>
                <w:color w:val="000000"/>
                <w:sz w:val="10"/>
                <w:szCs w:val="10"/>
                <w:lang w:val="en-GB" w:eastAsia="de-DE"/>
              </w:rPr>
              <w:t xml:space="preserve"> diverse benefits accrue to different stakeholders (thus a differentiated analysis in a cost benefit matrix is recommended)</w:t>
            </w:r>
          </w:p>
        </w:tc>
        <w:tc>
          <w:tcPr>
            <w:tcW w:w="1984" w:type="dxa"/>
            <w:shd w:val="clear" w:color="auto" w:fill="auto"/>
            <w:vAlign w:val="bottom"/>
            <w:hideMark/>
          </w:tcPr>
          <w:p w14:paraId="16772BBF"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Potential benefits are differentiated by stakeholder groups (diagnostician; referring physician; patient; hospital</w:t>
            </w:r>
          </w:p>
        </w:tc>
      </w:tr>
      <w:tr w:rsidR="00A15687" w:rsidRPr="00172FA8" w14:paraId="3244B90B" w14:textId="77777777" w:rsidTr="00124BEF">
        <w:trPr>
          <w:trHeight w:val="630"/>
        </w:trPr>
        <w:tc>
          <w:tcPr>
            <w:tcW w:w="603" w:type="dxa"/>
            <w:shd w:val="clear" w:color="auto" w:fill="auto"/>
            <w:noWrap/>
            <w:vAlign w:val="bottom"/>
          </w:tcPr>
          <w:p w14:paraId="15D874BD" w14:textId="2160186C"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Hailey</w:t>
            </w:r>
            <w:r w:rsidRPr="00172FA8">
              <w:rPr>
                <w:rFonts w:eastAsia="Times New Roman" w:cstheme="minorHAnsi"/>
                <w:color w:val="000000"/>
                <w:sz w:val="10"/>
                <w:szCs w:val="10"/>
                <w:lang w:val="en-GB" w:eastAsia="de-DE"/>
              </w:rPr>
              <w:t xml:space="preserve"> 2005</w:t>
            </w:r>
          </w:p>
        </w:tc>
        <w:tc>
          <w:tcPr>
            <w:tcW w:w="584" w:type="dxa"/>
            <w:shd w:val="clear" w:color="auto" w:fill="auto"/>
            <w:vAlign w:val="bottom"/>
          </w:tcPr>
          <w:p w14:paraId="2C032A96" w14:textId="79DAF634" w:rsidR="00A15687" w:rsidRPr="00172FA8" w:rsidRDefault="00A15687" w:rsidP="00663C0B">
            <w:pPr>
              <w:rPr>
                <w:rFonts w:eastAsia="Times New Roman" w:cstheme="minorHAnsi"/>
                <w:color w:val="000000"/>
                <w:sz w:val="10"/>
                <w:szCs w:val="10"/>
                <w:lang w:val="en-GB" w:eastAsia="de-DE"/>
              </w:rPr>
            </w:pPr>
            <w:r w:rsidRPr="00172FA8">
              <w:rPr>
                <w:rFonts w:eastAsia="Times New Roman" w:cstheme="minorHAnsi"/>
                <w:color w:val="000000"/>
                <w:sz w:val="10"/>
                <w:szCs w:val="10"/>
                <w:lang w:val="en-GB" w:eastAsia="de-DE"/>
              </w:rPr>
              <w:t>telemedicine</w:t>
            </w:r>
          </w:p>
        </w:tc>
        <w:tc>
          <w:tcPr>
            <w:tcW w:w="509" w:type="dxa"/>
            <w:shd w:val="clear" w:color="auto" w:fill="auto"/>
            <w:vAlign w:val="bottom"/>
          </w:tcPr>
          <w:p w14:paraId="1085919D" w14:textId="09F43161" w:rsidR="00A15687" w:rsidRPr="00172FA8" w:rsidRDefault="00A15687" w:rsidP="00663C0B">
            <w:pPr>
              <w:rPr>
                <w:rFonts w:eastAsia="Times New Roman" w:cstheme="minorHAnsi"/>
                <w:color w:val="000000"/>
                <w:sz w:val="10"/>
                <w:szCs w:val="10"/>
                <w:lang w:val="en-GB" w:eastAsia="de-DE"/>
              </w:rPr>
            </w:pPr>
            <w:r w:rsidRPr="00172FA8">
              <w:rPr>
                <w:rFonts w:eastAsia="Times New Roman" w:cstheme="minorHAnsi"/>
                <w:color w:val="000000"/>
                <w:sz w:val="10"/>
                <w:szCs w:val="10"/>
                <w:lang w:val="en-GB" w:eastAsia="de-DE"/>
              </w:rPr>
              <w:t>Discussion</w:t>
            </w:r>
          </w:p>
        </w:tc>
        <w:tc>
          <w:tcPr>
            <w:tcW w:w="2266" w:type="dxa"/>
            <w:shd w:val="clear" w:color="auto" w:fill="auto"/>
            <w:vAlign w:val="bottom"/>
          </w:tcPr>
          <w:p w14:paraId="1DCB4781" w14:textId="6AEA1FAF"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good-quality evidence on clinical outcomes beyond the feasibility stage is scarce so far; availability of administrative and other data for conventional services is often limited; rapid evolution of the technology; limited generalizability of results due to setting specific factors</w:t>
            </w:r>
          </w:p>
        </w:tc>
        <w:tc>
          <w:tcPr>
            <w:tcW w:w="711" w:type="dxa"/>
            <w:shd w:val="clear" w:color="auto" w:fill="auto"/>
            <w:vAlign w:val="bottom"/>
          </w:tcPr>
          <w:p w14:paraId="1A82D6A3" w14:textId="3DF079FA" w:rsidR="00A15687" w:rsidRPr="00172FA8" w:rsidRDefault="00A15687" w:rsidP="00663C0B">
            <w:pPr>
              <w:rPr>
                <w:rFonts w:eastAsia="Times New Roman" w:cstheme="minorHAnsi"/>
                <w:color w:val="000000"/>
                <w:sz w:val="10"/>
                <w:szCs w:val="10"/>
                <w:lang w:val="en-GB" w:eastAsia="de-DE"/>
              </w:rPr>
            </w:pPr>
            <w:r w:rsidRPr="00172FA8">
              <w:rPr>
                <w:rFonts w:eastAsia="Times New Roman" w:cstheme="minorHAnsi"/>
                <w:color w:val="000000"/>
                <w:sz w:val="10"/>
                <w:szCs w:val="10"/>
                <w:lang w:val="en-GB" w:eastAsia="de-DE"/>
              </w:rPr>
              <w:t>yes</w:t>
            </w:r>
          </w:p>
        </w:tc>
        <w:tc>
          <w:tcPr>
            <w:tcW w:w="1276" w:type="dxa"/>
            <w:shd w:val="clear" w:color="auto" w:fill="auto"/>
            <w:vAlign w:val="bottom"/>
          </w:tcPr>
          <w:p w14:paraId="2870FC97" w14:textId="7807EF45"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CEA, CUA, social audit analysis, cost-consequence matrix</w:t>
            </w:r>
          </w:p>
        </w:tc>
        <w:tc>
          <w:tcPr>
            <w:tcW w:w="709" w:type="dxa"/>
            <w:shd w:val="clear" w:color="auto" w:fill="auto"/>
            <w:vAlign w:val="bottom"/>
          </w:tcPr>
          <w:p w14:paraId="1196EA60" w14:textId="16456F1F"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567" w:type="dxa"/>
            <w:shd w:val="clear" w:color="auto" w:fill="auto"/>
            <w:vAlign w:val="bottom"/>
          </w:tcPr>
          <w:p w14:paraId="65AA1D38" w14:textId="00C4A35A"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1134" w:type="dxa"/>
            <w:shd w:val="clear" w:color="auto" w:fill="auto"/>
            <w:vAlign w:val="bottom"/>
          </w:tcPr>
          <w:p w14:paraId="2963006F" w14:textId="12EF7B37"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depends on research question</w:t>
            </w:r>
          </w:p>
        </w:tc>
        <w:tc>
          <w:tcPr>
            <w:tcW w:w="1842" w:type="dxa"/>
            <w:shd w:val="clear" w:color="auto" w:fill="auto"/>
            <w:vAlign w:val="bottom"/>
          </w:tcPr>
          <w:p w14:paraId="56146289" w14:textId="0856A4A8"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709" w:type="dxa"/>
            <w:shd w:val="clear" w:color="auto" w:fill="auto"/>
            <w:vAlign w:val="bottom"/>
          </w:tcPr>
          <w:p w14:paraId="67151528" w14:textId="77777777" w:rsidR="00A15687" w:rsidRPr="00172FA8" w:rsidRDefault="00A15687" w:rsidP="00663C0B">
            <w:pPr>
              <w:rPr>
                <w:rFonts w:eastAsia="Times New Roman" w:cstheme="minorHAnsi"/>
                <w:color w:val="000000"/>
                <w:sz w:val="10"/>
                <w:szCs w:val="10"/>
                <w:lang w:val="en-GB" w:eastAsia="de-DE"/>
              </w:rPr>
            </w:pPr>
          </w:p>
        </w:tc>
        <w:tc>
          <w:tcPr>
            <w:tcW w:w="851" w:type="dxa"/>
            <w:shd w:val="clear" w:color="auto" w:fill="auto"/>
            <w:vAlign w:val="bottom"/>
          </w:tcPr>
          <w:p w14:paraId="2ED9953F" w14:textId="09CA842E" w:rsidR="00A15687" w:rsidRPr="00172FA8" w:rsidRDefault="007A2EE3" w:rsidP="00663C0B">
            <w:pPr>
              <w:rPr>
                <w:rFonts w:eastAsia="Times New Roman" w:cstheme="minorHAnsi"/>
                <w:color w:val="000000"/>
                <w:sz w:val="10"/>
                <w:szCs w:val="10"/>
                <w:lang w:val="en-GB" w:eastAsia="de-DE"/>
              </w:rPr>
            </w:pPr>
            <w:r>
              <w:rPr>
                <w:rFonts w:eastAsia="Times New Roman" w:cstheme="minorHAnsi"/>
                <w:color w:val="000000"/>
                <w:sz w:val="10"/>
                <w:szCs w:val="10"/>
                <w:lang w:val="en-GB" w:eastAsia="de-DE"/>
              </w:rPr>
              <w:t>n.m.</w:t>
            </w:r>
          </w:p>
        </w:tc>
        <w:tc>
          <w:tcPr>
            <w:tcW w:w="1559" w:type="dxa"/>
            <w:shd w:val="clear" w:color="auto" w:fill="auto"/>
            <w:vAlign w:val="bottom"/>
          </w:tcPr>
          <w:p w14:paraId="6C3F5312" w14:textId="77777777" w:rsidR="00A15687" w:rsidRPr="00172FA8" w:rsidRDefault="00A15687" w:rsidP="00663C0B">
            <w:pPr>
              <w:rPr>
                <w:rFonts w:eastAsia="Times New Roman" w:cstheme="minorHAnsi"/>
                <w:color w:val="000000"/>
                <w:sz w:val="10"/>
                <w:szCs w:val="10"/>
                <w:lang w:val="en-GB" w:eastAsia="de-DE"/>
              </w:rPr>
            </w:pPr>
          </w:p>
        </w:tc>
        <w:tc>
          <w:tcPr>
            <w:tcW w:w="1984" w:type="dxa"/>
            <w:shd w:val="clear" w:color="auto" w:fill="auto"/>
            <w:vAlign w:val="bottom"/>
          </w:tcPr>
          <w:p w14:paraId="5462DACA" w14:textId="57A6C096" w:rsidR="00A15687" w:rsidRPr="00172FA8" w:rsidRDefault="00A15687" w:rsidP="00663C0B">
            <w:pPr>
              <w:rPr>
                <w:rFonts w:eastAsia="Times New Roman" w:cstheme="minorHAnsi"/>
                <w:color w:val="000000"/>
                <w:sz w:val="10"/>
                <w:szCs w:val="10"/>
                <w:lang w:val="en-GB" w:eastAsia="de-DE"/>
              </w:rPr>
            </w:pPr>
            <w:r w:rsidRPr="00172FA8">
              <w:rPr>
                <w:rFonts w:eastAsia="Times New Roman" w:cstheme="minorHAnsi"/>
                <w:color w:val="000000"/>
                <w:sz w:val="10"/>
                <w:szCs w:val="10"/>
                <w:lang w:val="en-GB" w:eastAsia="de-DE"/>
              </w:rPr>
              <w:t>preferably clinical outcomes</w:t>
            </w:r>
          </w:p>
        </w:tc>
      </w:tr>
      <w:tr w:rsidR="00A15687" w:rsidRPr="00172FA8" w14:paraId="68AEED78" w14:textId="77777777" w:rsidTr="00124BEF">
        <w:trPr>
          <w:trHeight w:val="740"/>
        </w:trPr>
        <w:tc>
          <w:tcPr>
            <w:tcW w:w="603" w:type="dxa"/>
            <w:shd w:val="clear" w:color="auto" w:fill="auto"/>
            <w:noWrap/>
            <w:vAlign w:val="bottom"/>
            <w:hideMark/>
          </w:tcPr>
          <w:p w14:paraId="12C4A7DE" w14:textId="1B8C97F2" w:rsidR="00A15687" w:rsidRPr="00A21C90" w:rsidRDefault="00A15687" w:rsidP="00663C0B">
            <w:pPr>
              <w:rPr>
                <w:rFonts w:eastAsia="Times New Roman" w:cstheme="minorHAnsi"/>
                <w:color w:val="000000"/>
                <w:sz w:val="10"/>
                <w:szCs w:val="10"/>
                <w:lang w:val="en-GB" w:eastAsia="de-DE"/>
              </w:rPr>
            </w:pPr>
            <w:r w:rsidRPr="00172FA8">
              <w:rPr>
                <w:rFonts w:eastAsia="Times New Roman" w:cstheme="minorHAnsi"/>
                <w:color w:val="000000"/>
                <w:sz w:val="10"/>
                <w:szCs w:val="10"/>
                <w:lang w:val="en-GB" w:eastAsia="de-DE"/>
              </w:rPr>
              <w:t>NICE 2019</w:t>
            </w:r>
          </w:p>
        </w:tc>
        <w:tc>
          <w:tcPr>
            <w:tcW w:w="584" w:type="dxa"/>
            <w:shd w:val="clear" w:color="auto" w:fill="auto"/>
            <w:vAlign w:val="bottom"/>
            <w:hideMark/>
          </w:tcPr>
          <w:p w14:paraId="4A8392B9" w14:textId="77777777" w:rsidR="00A15687" w:rsidRPr="00A21C90" w:rsidRDefault="00A15687" w:rsidP="00663C0B">
            <w:pPr>
              <w:rPr>
                <w:rFonts w:eastAsia="Times New Roman" w:cstheme="minorHAnsi"/>
                <w:sz w:val="10"/>
                <w:szCs w:val="10"/>
                <w:lang w:val="en-GB" w:eastAsia="de-DE"/>
              </w:rPr>
            </w:pPr>
          </w:p>
        </w:tc>
        <w:tc>
          <w:tcPr>
            <w:tcW w:w="509" w:type="dxa"/>
            <w:shd w:val="clear" w:color="auto" w:fill="auto"/>
            <w:vAlign w:val="bottom"/>
            <w:hideMark/>
          </w:tcPr>
          <w:p w14:paraId="34A09C00" w14:textId="77777777" w:rsidR="00A15687" w:rsidRPr="00A21C90" w:rsidRDefault="00A15687" w:rsidP="00663C0B">
            <w:pPr>
              <w:rPr>
                <w:rFonts w:eastAsia="Times New Roman" w:cstheme="minorHAnsi"/>
                <w:sz w:val="10"/>
                <w:szCs w:val="10"/>
                <w:lang w:val="en-GB" w:eastAsia="de-DE"/>
              </w:rPr>
            </w:pPr>
          </w:p>
        </w:tc>
        <w:tc>
          <w:tcPr>
            <w:tcW w:w="2266" w:type="dxa"/>
            <w:shd w:val="clear" w:color="auto" w:fill="auto"/>
            <w:vAlign w:val="bottom"/>
            <w:hideMark/>
          </w:tcPr>
          <w:p w14:paraId="2AB949FF"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diverse outcomes, non-health and outcomes that cannot be monetised</w:t>
            </w:r>
          </w:p>
        </w:tc>
        <w:tc>
          <w:tcPr>
            <w:tcW w:w="711" w:type="dxa"/>
            <w:shd w:val="clear" w:color="auto" w:fill="auto"/>
            <w:vAlign w:val="bottom"/>
            <w:hideMark/>
          </w:tcPr>
          <w:p w14:paraId="21589255"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276" w:type="dxa"/>
            <w:shd w:val="clear" w:color="auto" w:fill="auto"/>
            <w:vAlign w:val="bottom"/>
            <w:hideMark/>
          </w:tcPr>
          <w:p w14:paraId="5DF2806C"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BIA, CUA, CCA (depending on the maturity of the technology); if funded by NHS or Personal Social Services: CUA</w:t>
            </w:r>
          </w:p>
        </w:tc>
        <w:tc>
          <w:tcPr>
            <w:tcW w:w="709" w:type="dxa"/>
            <w:shd w:val="clear" w:color="auto" w:fill="auto"/>
            <w:vAlign w:val="bottom"/>
            <w:hideMark/>
          </w:tcPr>
          <w:p w14:paraId="3B359C41" w14:textId="77777777" w:rsidR="00A15687" w:rsidRPr="00A21C90" w:rsidRDefault="00A15687" w:rsidP="00663C0B">
            <w:pPr>
              <w:rPr>
                <w:rFonts w:eastAsia="Times New Roman" w:cstheme="minorHAnsi"/>
                <w:color w:val="000000"/>
                <w:sz w:val="10"/>
                <w:szCs w:val="10"/>
                <w:lang w:val="en-GB" w:eastAsia="de-DE"/>
              </w:rPr>
            </w:pPr>
          </w:p>
        </w:tc>
        <w:tc>
          <w:tcPr>
            <w:tcW w:w="567" w:type="dxa"/>
            <w:shd w:val="clear" w:color="auto" w:fill="auto"/>
            <w:vAlign w:val="bottom"/>
            <w:hideMark/>
          </w:tcPr>
          <w:p w14:paraId="12B84E78"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134" w:type="dxa"/>
            <w:shd w:val="clear" w:color="auto" w:fill="auto"/>
            <w:vAlign w:val="bottom"/>
            <w:hideMark/>
          </w:tcPr>
          <w:p w14:paraId="7C48F4E0"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depending on decision-maker (payer or societal)</w:t>
            </w:r>
          </w:p>
        </w:tc>
        <w:tc>
          <w:tcPr>
            <w:tcW w:w="1842" w:type="dxa"/>
            <w:shd w:val="clear" w:color="auto" w:fill="auto"/>
            <w:vAlign w:val="bottom"/>
            <w:hideMark/>
          </w:tcPr>
          <w:p w14:paraId="15E73AAD" w14:textId="77777777" w:rsidR="00A15687" w:rsidRPr="00A21C90" w:rsidRDefault="00A15687" w:rsidP="00663C0B">
            <w:pPr>
              <w:rPr>
                <w:rFonts w:eastAsia="Times New Roman" w:cstheme="minorHAnsi"/>
                <w:color w:val="000000"/>
                <w:sz w:val="10"/>
                <w:szCs w:val="10"/>
                <w:lang w:val="en-GB" w:eastAsia="de-DE"/>
              </w:rPr>
            </w:pPr>
          </w:p>
        </w:tc>
        <w:tc>
          <w:tcPr>
            <w:tcW w:w="709" w:type="dxa"/>
            <w:shd w:val="clear" w:color="auto" w:fill="auto"/>
            <w:vAlign w:val="bottom"/>
            <w:hideMark/>
          </w:tcPr>
          <w:p w14:paraId="62C2B7B7"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subgroup-analyses are recommended if clinical data indicates that effects differ by demographic factors</w:t>
            </w:r>
          </w:p>
        </w:tc>
        <w:tc>
          <w:tcPr>
            <w:tcW w:w="851" w:type="dxa"/>
            <w:shd w:val="clear" w:color="auto" w:fill="auto"/>
            <w:vAlign w:val="bottom"/>
            <w:hideMark/>
          </w:tcPr>
          <w:p w14:paraId="630EE283" w14:textId="7E95B12F"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559" w:type="dxa"/>
            <w:shd w:val="clear" w:color="auto" w:fill="auto"/>
            <w:vAlign w:val="bottom"/>
            <w:hideMark/>
          </w:tcPr>
          <w:p w14:paraId="4D149F2B"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diverse outcomes, non-health and outcomes that cannot be monetised</w:t>
            </w:r>
          </w:p>
        </w:tc>
        <w:tc>
          <w:tcPr>
            <w:tcW w:w="1984" w:type="dxa"/>
            <w:shd w:val="clear" w:color="auto" w:fill="auto"/>
            <w:vAlign w:val="bottom"/>
            <w:hideMark/>
          </w:tcPr>
          <w:p w14:paraId="2B2B1DD2"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these include "patient benefits and related factors such as compliance, adverse events related to the DHT and ease of use for relevant staff group" (5)</w:t>
            </w:r>
          </w:p>
        </w:tc>
      </w:tr>
      <w:tr w:rsidR="00A15687" w:rsidRPr="00172FA8" w14:paraId="5DA4D319" w14:textId="77777777" w:rsidTr="00124BEF">
        <w:trPr>
          <w:trHeight w:val="920"/>
        </w:trPr>
        <w:tc>
          <w:tcPr>
            <w:tcW w:w="603" w:type="dxa"/>
            <w:shd w:val="clear" w:color="auto" w:fill="auto"/>
            <w:noWrap/>
            <w:vAlign w:val="bottom"/>
          </w:tcPr>
          <w:p w14:paraId="422DF2C2" w14:textId="7D8A0CD8" w:rsidR="00A15687" w:rsidRPr="00172FA8" w:rsidRDefault="00A15687" w:rsidP="00663C0B">
            <w:pPr>
              <w:rPr>
                <w:rFonts w:eastAsia="Times New Roman" w:cstheme="minorHAnsi"/>
                <w:color w:val="000000"/>
                <w:sz w:val="10"/>
                <w:szCs w:val="10"/>
                <w:lang w:val="en-GB" w:eastAsia="de-DE"/>
              </w:rPr>
            </w:pPr>
            <w:r w:rsidRPr="00172FA8">
              <w:rPr>
                <w:rFonts w:eastAsia="Times New Roman" w:cstheme="minorHAnsi"/>
                <w:color w:val="000000"/>
                <w:sz w:val="10"/>
                <w:szCs w:val="10"/>
                <w:lang w:val="en-GB" w:eastAsia="de-DE"/>
              </w:rPr>
              <w:t>NICE 2019</w:t>
            </w:r>
          </w:p>
        </w:tc>
        <w:tc>
          <w:tcPr>
            <w:tcW w:w="584" w:type="dxa"/>
            <w:shd w:val="clear" w:color="auto" w:fill="auto"/>
            <w:vAlign w:val="bottom"/>
          </w:tcPr>
          <w:p w14:paraId="77C6C2AE" w14:textId="6D7AC0EB" w:rsidR="00A15687" w:rsidRPr="00172FA8" w:rsidRDefault="00A15687" w:rsidP="00663C0B">
            <w:pPr>
              <w:rPr>
                <w:rFonts w:eastAsia="Times New Roman" w:cstheme="minorHAnsi"/>
                <w:sz w:val="10"/>
                <w:szCs w:val="10"/>
                <w:lang w:val="en-GB" w:eastAsia="de-DE"/>
              </w:rPr>
            </w:pPr>
            <w:r w:rsidRPr="00A21C90">
              <w:rPr>
                <w:rFonts w:eastAsia="Times New Roman" w:cstheme="minorHAnsi"/>
                <w:color w:val="000000"/>
                <w:sz w:val="10"/>
                <w:szCs w:val="10"/>
                <w:lang w:val="en-GB" w:eastAsia="de-DE"/>
              </w:rPr>
              <w:t xml:space="preserve">digital health </w:t>
            </w:r>
            <w:r w:rsidR="00272640" w:rsidRPr="00A21C90">
              <w:rPr>
                <w:rFonts w:eastAsia="Times New Roman" w:cstheme="minorHAnsi"/>
                <w:color w:val="000000"/>
                <w:sz w:val="10"/>
                <w:szCs w:val="10"/>
                <w:lang w:val="en-GB" w:eastAsia="de-DE"/>
              </w:rPr>
              <w:t>technologies</w:t>
            </w:r>
          </w:p>
        </w:tc>
        <w:tc>
          <w:tcPr>
            <w:tcW w:w="509" w:type="dxa"/>
            <w:shd w:val="clear" w:color="auto" w:fill="auto"/>
            <w:vAlign w:val="bottom"/>
          </w:tcPr>
          <w:p w14:paraId="1F2794FC" w14:textId="26CC8A8C" w:rsidR="00A15687" w:rsidRPr="00172FA8" w:rsidRDefault="00A15687" w:rsidP="00663C0B">
            <w:pPr>
              <w:rPr>
                <w:rFonts w:eastAsia="Times New Roman" w:cstheme="minorHAnsi"/>
                <w:sz w:val="10"/>
                <w:szCs w:val="10"/>
                <w:lang w:val="en-GB" w:eastAsia="de-DE"/>
              </w:rPr>
            </w:pPr>
            <w:r w:rsidRPr="00A21C90">
              <w:rPr>
                <w:rFonts w:eastAsia="Times New Roman" w:cstheme="minorHAnsi"/>
                <w:color w:val="000000"/>
                <w:sz w:val="10"/>
                <w:szCs w:val="10"/>
                <w:lang w:val="en-GB" w:eastAsia="de-DE"/>
              </w:rPr>
              <w:t>Evidence Standard Framework</w:t>
            </w:r>
          </w:p>
        </w:tc>
        <w:tc>
          <w:tcPr>
            <w:tcW w:w="2266" w:type="dxa"/>
            <w:shd w:val="clear" w:color="auto" w:fill="auto"/>
            <w:vAlign w:val="bottom"/>
          </w:tcPr>
          <w:p w14:paraId="15279E0F" w14:textId="666D5059"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not discussed</w:t>
            </w:r>
          </w:p>
        </w:tc>
        <w:tc>
          <w:tcPr>
            <w:tcW w:w="711" w:type="dxa"/>
            <w:shd w:val="clear" w:color="auto" w:fill="auto"/>
            <w:vAlign w:val="bottom"/>
          </w:tcPr>
          <w:p w14:paraId="2BE77327" w14:textId="0AB06304"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276" w:type="dxa"/>
            <w:shd w:val="clear" w:color="auto" w:fill="auto"/>
            <w:vAlign w:val="bottom"/>
          </w:tcPr>
          <w:p w14:paraId="69396081" w14:textId="2BD34D85"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BIA, CUA, CCA (depending on the maturity of the technology); if funded by NHS or Personal Social Services: CUA</w:t>
            </w:r>
          </w:p>
        </w:tc>
        <w:tc>
          <w:tcPr>
            <w:tcW w:w="709" w:type="dxa"/>
            <w:shd w:val="clear" w:color="auto" w:fill="auto"/>
            <w:vAlign w:val="bottom"/>
          </w:tcPr>
          <w:p w14:paraId="59381DB0" w14:textId="6451C294"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 if applicable</w:t>
            </w:r>
          </w:p>
        </w:tc>
        <w:tc>
          <w:tcPr>
            <w:tcW w:w="567" w:type="dxa"/>
            <w:shd w:val="clear" w:color="auto" w:fill="auto"/>
            <w:vAlign w:val="bottom"/>
          </w:tcPr>
          <w:p w14:paraId="58D7C732" w14:textId="2FA28ABF"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1134" w:type="dxa"/>
            <w:shd w:val="clear" w:color="auto" w:fill="auto"/>
            <w:vAlign w:val="bottom"/>
          </w:tcPr>
          <w:p w14:paraId="01BCCDAC" w14:textId="7D4F353B"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depending on decision-maker</w:t>
            </w:r>
          </w:p>
        </w:tc>
        <w:tc>
          <w:tcPr>
            <w:tcW w:w="1842" w:type="dxa"/>
            <w:shd w:val="clear" w:color="auto" w:fill="auto"/>
            <w:vAlign w:val="bottom"/>
          </w:tcPr>
          <w:p w14:paraId="432AFD73" w14:textId="77777777" w:rsidR="00A15687" w:rsidRPr="00172FA8" w:rsidRDefault="00A15687" w:rsidP="00663C0B">
            <w:pPr>
              <w:rPr>
                <w:rFonts w:eastAsia="Times New Roman" w:cstheme="minorHAnsi"/>
                <w:color w:val="000000"/>
                <w:sz w:val="10"/>
                <w:szCs w:val="10"/>
                <w:lang w:val="en-GB" w:eastAsia="de-DE"/>
              </w:rPr>
            </w:pPr>
          </w:p>
        </w:tc>
        <w:tc>
          <w:tcPr>
            <w:tcW w:w="709" w:type="dxa"/>
            <w:shd w:val="clear" w:color="auto" w:fill="auto"/>
            <w:vAlign w:val="bottom"/>
          </w:tcPr>
          <w:p w14:paraId="634A06EF" w14:textId="62BA145D"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subgroup-analyses are recommended if clinical data indicates that effects differ by demographic factors</w:t>
            </w:r>
          </w:p>
        </w:tc>
        <w:tc>
          <w:tcPr>
            <w:tcW w:w="851" w:type="dxa"/>
            <w:shd w:val="clear" w:color="auto" w:fill="auto"/>
            <w:vAlign w:val="bottom"/>
          </w:tcPr>
          <w:p w14:paraId="29F8EDB8" w14:textId="17AC1E69"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CCA should be used if applicable</w:t>
            </w:r>
          </w:p>
        </w:tc>
        <w:tc>
          <w:tcPr>
            <w:tcW w:w="1559" w:type="dxa"/>
            <w:shd w:val="clear" w:color="auto" w:fill="auto"/>
            <w:vAlign w:val="bottom"/>
          </w:tcPr>
          <w:p w14:paraId="4DC47F17" w14:textId="411767D4"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general recommendation (not specific for DHT)</w:t>
            </w:r>
          </w:p>
        </w:tc>
        <w:tc>
          <w:tcPr>
            <w:tcW w:w="1984" w:type="dxa"/>
            <w:shd w:val="clear" w:color="auto" w:fill="auto"/>
            <w:vAlign w:val="bottom"/>
          </w:tcPr>
          <w:p w14:paraId="064C67A1" w14:textId="39F70702"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w:t>
            </w:r>
            <w:proofErr w:type="gramStart"/>
            <w:r w:rsidRPr="00A21C90">
              <w:rPr>
                <w:rFonts w:eastAsia="Times New Roman" w:cstheme="minorHAnsi"/>
                <w:color w:val="000000"/>
                <w:sz w:val="10"/>
                <w:szCs w:val="10"/>
                <w:lang w:val="en-GB" w:eastAsia="de-DE"/>
              </w:rPr>
              <w:t>best</w:t>
            </w:r>
            <w:proofErr w:type="gramEnd"/>
            <w:r w:rsidRPr="00A21C90">
              <w:rPr>
                <w:rFonts w:eastAsia="Times New Roman" w:cstheme="minorHAnsi"/>
                <w:color w:val="000000"/>
                <w:sz w:val="10"/>
                <w:szCs w:val="10"/>
                <w:lang w:val="en-GB" w:eastAsia="de-DE"/>
              </w:rPr>
              <w:t xml:space="preserve"> quality evidence available" (27)</w:t>
            </w:r>
          </w:p>
        </w:tc>
      </w:tr>
      <w:tr w:rsidR="00A15687" w:rsidRPr="00172FA8" w14:paraId="62EE7BF5" w14:textId="77777777" w:rsidTr="00124BEF">
        <w:trPr>
          <w:trHeight w:val="987"/>
        </w:trPr>
        <w:tc>
          <w:tcPr>
            <w:tcW w:w="603" w:type="dxa"/>
            <w:shd w:val="clear" w:color="auto" w:fill="auto"/>
            <w:noWrap/>
            <w:vAlign w:val="bottom"/>
          </w:tcPr>
          <w:p w14:paraId="36EE9411" w14:textId="4C009023" w:rsidR="00A15687" w:rsidRPr="00272640" w:rsidRDefault="00A15687" w:rsidP="00663C0B">
            <w:pPr>
              <w:rPr>
                <w:rFonts w:eastAsia="Times New Roman" w:cstheme="minorHAnsi"/>
                <w:color w:val="000000"/>
                <w:sz w:val="10"/>
                <w:szCs w:val="10"/>
                <w:lang w:val="en-GB" w:eastAsia="de-DE"/>
              </w:rPr>
            </w:pPr>
            <w:r w:rsidRPr="00272640">
              <w:rPr>
                <w:rFonts w:eastAsia="Times New Roman" w:cstheme="minorHAnsi"/>
                <w:color w:val="000000"/>
                <w:sz w:val="10"/>
                <w:szCs w:val="10"/>
                <w:lang w:val="en-GB" w:eastAsia="de-DE"/>
              </w:rPr>
              <w:t>LeFevre et al. 2017</w:t>
            </w:r>
          </w:p>
        </w:tc>
        <w:tc>
          <w:tcPr>
            <w:tcW w:w="584" w:type="dxa"/>
            <w:shd w:val="clear" w:color="auto" w:fill="auto"/>
            <w:vAlign w:val="bottom"/>
          </w:tcPr>
          <w:p w14:paraId="150FFE08" w14:textId="6B934FEF" w:rsidR="00A15687" w:rsidRPr="00A21C90" w:rsidRDefault="00623368" w:rsidP="00663C0B">
            <w:pPr>
              <w:rPr>
                <w:rFonts w:eastAsia="Times New Roman" w:cstheme="minorHAnsi"/>
                <w:color w:val="000000"/>
                <w:sz w:val="10"/>
                <w:szCs w:val="10"/>
                <w:lang w:val="en-GB" w:eastAsia="de-DE"/>
              </w:rPr>
            </w:pPr>
            <w:r>
              <w:rPr>
                <w:rFonts w:eastAsia="Times New Roman" w:cstheme="minorHAnsi"/>
                <w:color w:val="000000"/>
                <w:sz w:val="10"/>
                <w:szCs w:val="10"/>
                <w:lang w:val="en-GB" w:eastAsia="de-DE"/>
              </w:rPr>
              <w:t>m-</w:t>
            </w:r>
            <w:r w:rsidR="00A15687" w:rsidRPr="00172FA8">
              <w:rPr>
                <w:rFonts w:eastAsia="Times New Roman" w:cstheme="minorHAnsi"/>
                <w:color w:val="000000"/>
                <w:sz w:val="10"/>
                <w:szCs w:val="10"/>
                <w:lang w:val="en-GB" w:eastAsia="de-DE"/>
              </w:rPr>
              <w:t>health</w:t>
            </w:r>
          </w:p>
        </w:tc>
        <w:tc>
          <w:tcPr>
            <w:tcW w:w="509" w:type="dxa"/>
            <w:shd w:val="clear" w:color="auto" w:fill="auto"/>
            <w:vAlign w:val="bottom"/>
          </w:tcPr>
          <w:p w14:paraId="21912F15" w14:textId="6DB28A3E" w:rsidR="00A15687" w:rsidRPr="00A21C90" w:rsidRDefault="00A15687" w:rsidP="00663C0B">
            <w:pPr>
              <w:rPr>
                <w:rFonts w:eastAsia="Times New Roman" w:cstheme="minorHAnsi"/>
                <w:color w:val="000000"/>
                <w:sz w:val="10"/>
                <w:szCs w:val="10"/>
                <w:lang w:val="en-GB" w:eastAsia="de-DE"/>
              </w:rPr>
            </w:pPr>
            <w:r w:rsidRPr="00172FA8">
              <w:rPr>
                <w:rFonts w:eastAsia="Times New Roman" w:cstheme="minorHAnsi"/>
                <w:color w:val="000000"/>
                <w:sz w:val="10"/>
                <w:szCs w:val="10"/>
                <w:lang w:val="en-GB" w:eastAsia="de-DE"/>
              </w:rPr>
              <w:t>discussion</w:t>
            </w:r>
          </w:p>
        </w:tc>
        <w:tc>
          <w:tcPr>
            <w:tcW w:w="2266" w:type="dxa"/>
            <w:shd w:val="clear" w:color="auto" w:fill="auto"/>
            <w:vAlign w:val="bottom"/>
          </w:tcPr>
          <w:p w14:paraId="0C30F0D1" w14:textId="32FC5E31"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Missing guidance on which analytical approaches are most appropriate based on the maturity of the mHealth solution (the paper tries to fill this gap); challenges depend on the different stages of development</w:t>
            </w:r>
          </w:p>
        </w:tc>
        <w:tc>
          <w:tcPr>
            <w:tcW w:w="711" w:type="dxa"/>
            <w:shd w:val="clear" w:color="auto" w:fill="auto"/>
            <w:vAlign w:val="bottom"/>
          </w:tcPr>
          <w:p w14:paraId="4C9341FD" w14:textId="23163A14" w:rsidR="00A15687" w:rsidRPr="00A21C90" w:rsidRDefault="00A15687" w:rsidP="00663C0B">
            <w:pPr>
              <w:rPr>
                <w:rFonts w:eastAsia="Times New Roman" w:cstheme="minorHAnsi"/>
                <w:color w:val="000000"/>
                <w:sz w:val="10"/>
                <w:szCs w:val="10"/>
                <w:lang w:val="en-GB" w:eastAsia="de-DE"/>
              </w:rPr>
            </w:pPr>
            <w:r w:rsidRPr="00172FA8">
              <w:rPr>
                <w:rFonts w:eastAsia="Times New Roman" w:cstheme="minorHAnsi"/>
                <w:color w:val="000000"/>
                <w:sz w:val="10"/>
                <w:szCs w:val="10"/>
                <w:lang w:val="en-GB" w:eastAsia="de-DE"/>
              </w:rPr>
              <w:t>yes</w:t>
            </w:r>
          </w:p>
        </w:tc>
        <w:tc>
          <w:tcPr>
            <w:tcW w:w="1276" w:type="dxa"/>
            <w:shd w:val="clear" w:color="auto" w:fill="auto"/>
            <w:vAlign w:val="bottom"/>
          </w:tcPr>
          <w:p w14:paraId="48576C5D" w14:textId="56895B25"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depending on stage and data availability; ECEA (extended CEA) and NBRF (net benefit regression framework) for subgroup analysis, equity and financial risk </w:t>
            </w:r>
            <w:r w:rsidR="00272640" w:rsidRPr="00A21C90">
              <w:rPr>
                <w:rFonts w:eastAsia="Times New Roman" w:cstheme="minorHAnsi"/>
                <w:color w:val="000000"/>
                <w:sz w:val="10"/>
                <w:szCs w:val="10"/>
                <w:lang w:val="en-GB" w:eastAsia="de-DE"/>
              </w:rPr>
              <w:t>protection</w:t>
            </w:r>
            <w:r w:rsidRPr="00A21C90">
              <w:rPr>
                <w:rFonts w:eastAsia="Times New Roman" w:cstheme="minorHAnsi"/>
                <w:color w:val="000000"/>
                <w:sz w:val="10"/>
                <w:szCs w:val="10"/>
                <w:lang w:val="en-GB" w:eastAsia="de-DE"/>
              </w:rPr>
              <w:t xml:space="preserve"> related research questions</w:t>
            </w:r>
          </w:p>
        </w:tc>
        <w:tc>
          <w:tcPr>
            <w:tcW w:w="709" w:type="dxa"/>
            <w:shd w:val="clear" w:color="auto" w:fill="auto"/>
            <w:vAlign w:val="bottom"/>
          </w:tcPr>
          <w:p w14:paraId="5CE50360" w14:textId="19F61CDB"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not necessarily</w:t>
            </w:r>
          </w:p>
        </w:tc>
        <w:tc>
          <w:tcPr>
            <w:tcW w:w="567" w:type="dxa"/>
            <w:shd w:val="clear" w:color="auto" w:fill="auto"/>
            <w:vAlign w:val="bottom"/>
          </w:tcPr>
          <w:p w14:paraId="58BF60AD" w14:textId="11BDCD6F"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1134" w:type="dxa"/>
            <w:shd w:val="clear" w:color="auto" w:fill="auto"/>
            <w:vAlign w:val="bottom"/>
          </w:tcPr>
          <w:p w14:paraId="52F9F1A4" w14:textId="546DF680"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depending on the specific research question</w:t>
            </w:r>
          </w:p>
        </w:tc>
        <w:tc>
          <w:tcPr>
            <w:tcW w:w="1842" w:type="dxa"/>
            <w:shd w:val="clear" w:color="auto" w:fill="auto"/>
            <w:vAlign w:val="bottom"/>
          </w:tcPr>
          <w:p w14:paraId="59B80940" w14:textId="199675A1"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Analysis should include economic and financial evaluation, including estimations on costs for sustainability/expansion and budget impact</w:t>
            </w:r>
          </w:p>
        </w:tc>
        <w:tc>
          <w:tcPr>
            <w:tcW w:w="709" w:type="dxa"/>
            <w:shd w:val="clear" w:color="auto" w:fill="auto"/>
            <w:vAlign w:val="bottom"/>
          </w:tcPr>
          <w:p w14:paraId="0447D2F1" w14:textId="3C2B4EE5"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equity, distributional consequences, financial risk protection</w:t>
            </w:r>
          </w:p>
        </w:tc>
        <w:tc>
          <w:tcPr>
            <w:tcW w:w="851" w:type="dxa"/>
            <w:shd w:val="clear" w:color="auto" w:fill="auto"/>
            <w:vAlign w:val="bottom"/>
          </w:tcPr>
          <w:p w14:paraId="5274103C" w14:textId="647E83E0"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1559" w:type="dxa"/>
            <w:shd w:val="clear" w:color="auto" w:fill="auto"/>
            <w:vAlign w:val="bottom"/>
          </w:tcPr>
          <w:p w14:paraId="499FBFD6" w14:textId="64961CA9"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not discussed</w:t>
            </w:r>
          </w:p>
        </w:tc>
        <w:tc>
          <w:tcPr>
            <w:tcW w:w="1984" w:type="dxa"/>
            <w:shd w:val="clear" w:color="auto" w:fill="auto"/>
            <w:vAlign w:val="bottom"/>
          </w:tcPr>
          <w:p w14:paraId="108F601E" w14:textId="6DD67BFF"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mainly health outcomes</w:t>
            </w:r>
          </w:p>
        </w:tc>
      </w:tr>
      <w:tr w:rsidR="00A15687" w:rsidRPr="00172FA8" w14:paraId="461C5B62" w14:textId="77777777" w:rsidTr="00124BEF">
        <w:trPr>
          <w:trHeight w:val="692"/>
        </w:trPr>
        <w:tc>
          <w:tcPr>
            <w:tcW w:w="603" w:type="dxa"/>
            <w:shd w:val="clear" w:color="auto" w:fill="auto"/>
            <w:noWrap/>
            <w:vAlign w:val="bottom"/>
          </w:tcPr>
          <w:p w14:paraId="41DD5342" w14:textId="146C9933"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Wildman; McMeekin; Grieve; Briggs</w:t>
            </w:r>
            <w:r w:rsidRPr="00172FA8">
              <w:rPr>
                <w:rFonts w:eastAsia="Times New Roman" w:cstheme="minorHAnsi"/>
                <w:color w:val="000000"/>
                <w:sz w:val="10"/>
                <w:szCs w:val="10"/>
                <w:lang w:val="en-GB" w:eastAsia="de-DE"/>
              </w:rPr>
              <w:t xml:space="preserve"> 2016</w:t>
            </w:r>
          </w:p>
        </w:tc>
        <w:tc>
          <w:tcPr>
            <w:tcW w:w="584" w:type="dxa"/>
            <w:shd w:val="clear" w:color="auto" w:fill="auto"/>
            <w:vAlign w:val="bottom"/>
          </w:tcPr>
          <w:p w14:paraId="62CFDE25" w14:textId="38D98E7E"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assisted living technologies (home/environment modifications &amp; telemedicine)</w:t>
            </w:r>
          </w:p>
        </w:tc>
        <w:tc>
          <w:tcPr>
            <w:tcW w:w="509" w:type="dxa"/>
            <w:shd w:val="clear" w:color="auto" w:fill="auto"/>
            <w:vAlign w:val="bottom"/>
          </w:tcPr>
          <w:p w14:paraId="5B8A231B" w14:textId="0D3C3E22"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methodology</w:t>
            </w:r>
          </w:p>
        </w:tc>
        <w:tc>
          <w:tcPr>
            <w:tcW w:w="2266" w:type="dxa"/>
            <w:shd w:val="clear" w:color="auto" w:fill="auto"/>
            <w:vAlign w:val="bottom"/>
          </w:tcPr>
          <w:p w14:paraId="6DBB19A2" w14:textId="3810FE92"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inclusion of beyond-health and processual aspects in health economic methods, deciding on the appropriate study perspective and comparator, valuation of social care effects and QALYs, decide between divergent preferences of different stakeholder groups, integration of equity aspects</w:t>
            </w:r>
          </w:p>
        </w:tc>
        <w:tc>
          <w:tcPr>
            <w:tcW w:w="711" w:type="dxa"/>
            <w:shd w:val="clear" w:color="auto" w:fill="auto"/>
            <w:vAlign w:val="bottom"/>
          </w:tcPr>
          <w:p w14:paraId="3DD3547D" w14:textId="7F0306F2"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partially</w:t>
            </w:r>
          </w:p>
        </w:tc>
        <w:tc>
          <w:tcPr>
            <w:tcW w:w="1276" w:type="dxa"/>
            <w:shd w:val="clear" w:color="auto" w:fill="auto"/>
            <w:vAlign w:val="bottom"/>
          </w:tcPr>
          <w:p w14:paraId="6F5D03F8" w14:textId="322E5EF0"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combination of CUA and CBA, Q-methodology to elicit group views concerning relevant attributes</w:t>
            </w:r>
          </w:p>
        </w:tc>
        <w:tc>
          <w:tcPr>
            <w:tcW w:w="709" w:type="dxa"/>
            <w:shd w:val="clear" w:color="auto" w:fill="auto"/>
            <w:vAlign w:val="bottom"/>
          </w:tcPr>
          <w:p w14:paraId="5E6E22A6" w14:textId="37FCDBC1"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567" w:type="dxa"/>
            <w:shd w:val="clear" w:color="auto" w:fill="auto"/>
            <w:vAlign w:val="bottom"/>
          </w:tcPr>
          <w:p w14:paraId="42342753" w14:textId="7A874849"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134" w:type="dxa"/>
            <w:shd w:val="clear" w:color="auto" w:fill="auto"/>
            <w:vAlign w:val="bottom"/>
          </w:tcPr>
          <w:p w14:paraId="4A9C92EF" w14:textId="5D2F0F42"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should be carefully considered</w:t>
            </w:r>
          </w:p>
        </w:tc>
        <w:tc>
          <w:tcPr>
            <w:tcW w:w="1842" w:type="dxa"/>
            <w:shd w:val="clear" w:color="auto" w:fill="auto"/>
            <w:vAlign w:val="bottom"/>
          </w:tcPr>
          <w:p w14:paraId="73BDBC3A" w14:textId="71693BD4"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709" w:type="dxa"/>
            <w:shd w:val="clear" w:color="auto" w:fill="auto"/>
            <w:vAlign w:val="bottom"/>
          </w:tcPr>
          <w:p w14:paraId="50EB025E" w14:textId="6D292096"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equity</w:t>
            </w:r>
          </w:p>
        </w:tc>
        <w:tc>
          <w:tcPr>
            <w:tcW w:w="851" w:type="dxa"/>
            <w:shd w:val="clear" w:color="auto" w:fill="auto"/>
            <w:vAlign w:val="bottom"/>
          </w:tcPr>
          <w:p w14:paraId="62C6AF61" w14:textId="5DD3FBF9"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integrated by the proposed method</w:t>
            </w:r>
          </w:p>
        </w:tc>
        <w:tc>
          <w:tcPr>
            <w:tcW w:w="1559" w:type="dxa"/>
            <w:shd w:val="clear" w:color="auto" w:fill="auto"/>
            <w:vAlign w:val="bottom"/>
          </w:tcPr>
          <w:p w14:paraId="7B431744" w14:textId="7FACE1A6"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necessity of integrating beyond-health, health and </w:t>
            </w:r>
            <w:r w:rsidR="00272640" w:rsidRPr="00A21C90">
              <w:rPr>
                <w:rFonts w:eastAsia="Times New Roman" w:cstheme="minorHAnsi"/>
                <w:color w:val="000000"/>
                <w:sz w:val="10"/>
                <w:szCs w:val="10"/>
                <w:lang w:val="en-GB" w:eastAsia="de-DE"/>
              </w:rPr>
              <w:t>processual</w:t>
            </w:r>
            <w:r w:rsidRPr="00A21C90">
              <w:rPr>
                <w:rFonts w:eastAsia="Times New Roman" w:cstheme="minorHAnsi"/>
                <w:color w:val="000000"/>
                <w:sz w:val="10"/>
                <w:szCs w:val="10"/>
                <w:lang w:val="en-GB" w:eastAsia="de-DE"/>
              </w:rPr>
              <w:t xml:space="preserve"> aspects</w:t>
            </w:r>
          </w:p>
        </w:tc>
        <w:tc>
          <w:tcPr>
            <w:tcW w:w="1984" w:type="dxa"/>
            <w:shd w:val="clear" w:color="auto" w:fill="auto"/>
            <w:vAlign w:val="bottom"/>
          </w:tcPr>
          <w:p w14:paraId="57E095A5" w14:textId="611E3554"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social care effects, processual aspects and QALYs</w:t>
            </w:r>
          </w:p>
        </w:tc>
      </w:tr>
      <w:tr w:rsidR="00A15687" w:rsidRPr="00172FA8" w14:paraId="2DB094FF" w14:textId="77777777" w:rsidTr="00124BEF">
        <w:trPr>
          <w:trHeight w:val="692"/>
        </w:trPr>
        <w:tc>
          <w:tcPr>
            <w:tcW w:w="603" w:type="dxa"/>
            <w:shd w:val="clear" w:color="auto" w:fill="auto"/>
            <w:noWrap/>
            <w:vAlign w:val="bottom"/>
          </w:tcPr>
          <w:p w14:paraId="4CD8BBC3" w14:textId="6EA24602" w:rsidR="00A15687" w:rsidRPr="00172FA8" w:rsidRDefault="00A15687" w:rsidP="00663C0B">
            <w:pPr>
              <w:rPr>
                <w:rFonts w:eastAsia="Times New Roman" w:cstheme="minorHAnsi"/>
                <w:color w:val="000000"/>
                <w:sz w:val="10"/>
                <w:szCs w:val="10"/>
                <w:lang w:val="en-GB" w:eastAsia="de-DE"/>
              </w:rPr>
            </w:pPr>
            <w:proofErr w:type="spellStart"/>
            <w:r w:rsidRPr="00A21C90">
              <w:rPr>
                <w:rFonts w:eastAsia="Times New Roman" w:cstheme="minorHAnsi"/>
                <w:color w:val="000000"/>
                <w:sz w:val="10"/>
                <w:szCs w:val="10"/>
                <w:lang w:val="en-GB" w:eastAsia="de-DE"/>
              </w:rPr>
              <w:t>Böhler</w:t>
            </w:r>
            <w:proofErr w:type="spellEnd"/>
            <w:r w:rsidRPr="00172FA8">
              <w:rPr>
                <w:rFonts w:eastAsia="Times New Roman" w:cstheme="minorHAnsi"/>
                <w:color w:val="000000"/>
                <w:sz w:val="10"/>
                <w:szCs w:val="10"/>
                <w:lang w:val="en-GB" w:eastAsia="de-DE"/>
              </w:rPr>
              <w:t xml:space="preserve"> 2018</w:t>
            </w:r>
          </w:p>
        </w:tc>
        <w:tc>
          <w:tcPr>
            <w:tcW w:w="584" w:type="dxa"/>
            <w:shd w:val="clear" w:color="auto" w:fill="auto"/>
            <w:vAlign w:val="bottom"/>
          </w:tcPr>
          <w:p w14:paraId="31A81610" w14:textId="77777777" w:rsidR="00A15687" w:rsidRPr="00172FA8" w:rsidRDefault="00A15687" w:rsidP="00663C0B">
            <w:pPr>
              <w:rPr>
                <w:rFonts w:eastAsia="Times New Roman" w:cstheme="minorHAnsi"/>
                <w:color w:val="000000"/>
                <w:sz w:val="10"/>
                <w:szCs w:val="10"/>
                <w:lang w:val="en-GB" w:eastAsia="de-DE"/>
              </w:rPr>
            </w:pPr>
          </w:p>
        </w:tc>
        <w:tc>
          <w:tcPr>
            <w:tcW w:w="509" w:type="dxa"/>
            <w:shd w:val="clear" w:color="auto" w:fill="auto"/>
            <w:vAlign w:val="bottom"/>
          </w:tcPr>
          <w:p w14:paraId="18631EB5" w14:textId="77777777" w:rsidR="00A15687" w:rsidRPr="00172FA8" w:rsidRDefault="00A15687" w:rsidP="00663C0B">
            <w:pPr>
              <w:rPr>
                <w:rFonts w:eastAsia="Times New Roman" w:cstheme="minorHAnsi"/>
                <w:color w:val="000000"/>
                <w:sz w:val="10"/>
                <w:szCs w:val="10"/>
                <w:lang w:val="en-GB" w:eastAsia="de-DE"/>
              </w:rPr>
            </w:pPr>
          </w:p>
        </w:tc>
        <w:tc>
          <w:tcPr>
            <w:tcW w:w="2266" w:type="dxa"/>
            <w:shd w:val="clear" w:color="auto" w:fill="auto"/>
            <w:vAlign w:val="bottom"/>
          </w:tcPr>
          <w:p w14:paraId="1B446B27" w14:textId="468EF73F"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Main challenges are the rapid technological development, the potentially disruptive character of these technologies, their classification as complex interventions and the potential to generate non-health </w:t>
            </w:r>
            <w:r w:rsidR="00272640" w:rsidRPr="00A21C90">
              <w:rPr>
                <w:rFonts w:eastAsia="Times New Roman" w:cstheme="minorHAnsi"/>
                <w:color w:val="000000"/>
                <w:sz w:val="10"/>
                <w:szCs w:val="10"/>
                <w:lang w:val="en-GB" w:eastAsia="de-DE"/>
              </w:rPr>
              <w:t>benefit</w:t>
            </w:r>
            <w:r w:rsidR="00272640">
              <w:rPr>
                <w:rFonts w:eastAsia="Times New Roman" w:cstheme="minorHAnsi"/>
                <w:color w:val="000000"/>
                <w:sz w:val="10"/>
                <w:szCs w:val="10"/>
                <w:lang w:val="en-GB" w:eastAsia="de-DE"/>
              </w:rPr>
              <w:t xml:space="preserve">s </w:t>
            </w:r>
            <w:r w:rsidRPr="00A21C90">
              <w:rPr>
                <w:rFonts w:eastAsia="Times New Roman" w:cstheme="minorHAnsi"/>
                <w:color w:val="000000"/>
                <w:sz w:val="10"/>
                <w:szCs w:val="10"/>
                <w:lang w:val="en-GB" w:eastAsia="de-DE"/>
              </w:rPr>
              <w:t>is or benefits beyond the health care system; possibility of multiple, time-delayed, unpredictable, and difficult-to-assess (sometimes external) program effects; necessity of an early, iterative technology assessment from the perspective of different decision makers</w:t>
            </w:r>
          </w:p>
        </w:tc>
        <w:tc>
          <w:tcPr>
            <w:tcW w:w="711" w:type="dxa"/>
            <w:shd w:val="clear" w:color="auto" w:fill="auto"/>
            <w:vAlign w:val="bottom"/>
          </w:tcPr>
          <w:p w14:paraId="2ACF841F" w14:textId="29ECD063"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partially/adapted</w:t>
            </w:r>
          </w:p>
        </w:tc>
        <w:tc>
          <w:tcPr>
            <w:tcW w:w="1276" w:type="dxa"/>
            <w:shd w:val="clear" w:color="auto" w:fill="auto"/>
            <w:vAlign w:val="bottom"/>
          </w:tcPr>
          <w:p w14:paraId="760C61A4" w14:textId="7D033CE1"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mainly CEA and CUA; CMA, CCA, MCDA should be considered depending on study question and perspective</w:t>
            </w:r>
          </w:p>
        </w:tc>
        <w:tc>
          <w:tcPr>
            <w:tcW w:w="709" w:type="dxa"/>
            <w:shd w:val="clear" w:color="auto" w:fill="auto"/>
            <w:vAlign w:val="bottom"/>
          </w:tcPr>
          <w:p w14:paraId="540ABC40" w14:textId="0043788E"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567" w:type="dxa"/>
            <w:shd w:val="clear" w:color="auto" w:fill="auto"/>
            <w:vAlign w:val="bottom"/>
          </w:tcPr>
          <w:p w14:paraId="3AE4BDD7" w14:textId="377499F5"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yes/often</w:t>
            </w:r>
          </w:p>
        </w:tc>
        <w:tc>
          <w:tcPr>
            <w:tcW w:w="1134" w:type="dxa"/>
            <w:shd w:val="clear" w:color="auto" w:fill="auto"/>
            <w:vAlign w:val="bottom"/>
          </w:tcPr>
          <w:p w14:paraId="48F021D7" w14:textId="1B2CF0C4"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differentiated by stakeholder; reference case: health system perspective</w:t>
            </w:r>
          </w:p>
        </w:tc>
        <w:tc>
          <w:tcPr>
            <w:tcW w:w="1842" w:type="dxa"/>
            <w:shd w:val="clear" w:color="auto" w:fill="auto"/>
            <w:vAlign w:val="bottom"/>
          </w:tcPr>
          <w:p w14:paraId="3F4F0727" w14:textId="7F5BDE79"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a variety of budgets of different stakeholders may be affected, multiple usage options; transferability of cost results during experimental studies to real-life applications is limited, disruptive character of the interventions</w:t>
            </w:r>
          </w:p>
        </w:tc>
        <w:tc>
          <w:tcPr>
            <w:tcW w:w="709" w:type="dxa"/>
            <w:shd w:val="clear" w:color="auto" w:fill="auto"/>
            <w:vAlign w:val="bottom"/>
          </w:tcPr>
          <w:p w14:paraId="55D23909" w14:textId="4E489FB7"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may be necessary</w:t>
            </w:r>
          </w:p>
        </w:tc>
        <w:tc>
          <w:tcPr>
            <w:tcW w:w="851" w:type="dxa"/>
            <w:shd w:val="clear" w:color="auto" w:fill="auto"/>
            <w:vAlign w:val="bottom"/>
          </w:tcPr>
          <w:p w14:paraId="7CE2EE40" w14:textId="53240D24"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yes/often</w:t>
            </w:r>
          </w:p>
        </w:tc>
        <w:tc>
          <w:tcPr>
            <w:tcW w:w="1559" w:type="dxa"/>
            <w:shd w:val="clear" w:color="auto" w:fill="auto"/>
            <w:vAlign w:val="bottom"/>
          </w:tcPr>
          <w:p w14:paraId="28DB013E" w14:textId="2918F9DE"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non-health benefits; valuation of non-health benefits is often difficult</w:t>
            </w:r>
          </w:p>
        </w:tc>
        <w:tc>
          <w:tcPr>
            <w:tcW w:w="1984" w:type="dxa"/>
            <w:shd w:val="clear" w:color="auto" w:fill="auto"/>
            <w:vAlign w:val="bottom"/>
          </w:tcPr>
          <w:p w14:paraId="74CB61E4" w14:textId="47262A1B"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in </w:t>
            </w:r>
            <w:proofErr w:type="gramStart"/>
            <w:r w:rsidRPr="00A21C90">
              <w:rPr>
                <w:rFonts w:eastAsia="Times New Roman" w:cstheme="minorHAnsi"/>
                <w:color w:val="000000"/>
                <w:sz w:val="10"/>
                <w:szCs w:val="10"/>
                <w:lang w:val="en-GB" w:eastAsia="de-DE"/>
              </w:rPr>
              <w:t>general</w:t>
            </w:r>
            <w:proofErr w:type="gramEnd"/>
            <w:r w:rsidRPr="00A21C90">
              <w:rPr>
                <w:rFonts w:eastAsia="Times New Roman" w:cstheme="minorHAnsi"/>
                <w:color w:val="000000"/>
                <w:sz w:val="10"/>
                <w:szCs w:val="10"/>
                <w:lang w:val="en-GB" w:eastAsia="de-DE"/>
              </w:rPr>
              <w:t xml:space="preserve"> natural units and/or QALYs; if generic outcome measures are not </w:t>
            </w:r>
            <w:r w:rsidR="00272640" w:rsidRPr="00A21C90">
              <w:rPr>
                <w:rFonts w:eastAsia="Times New Roman" w:cstheme="minorHAnsi"/>
                <w:color w:val="000000"/>
                <w:sz w:val="10"/>
                <w:szCs w:val="10"/>
                <w:lang w:val="en-GB" w:eastAsia="de-DE"/>
              </w:rPr>
              <w:t>adequate</w:t>
            </w:r>
            <w:r w:rsidRPr="00A21C90">
              <w:rPr>
                <w:rFonts w:eastAsia="Times New Roman" w:cstheme="minorHAnsi"/>
                <w:color w:val="000000"/>
                <w:sz w:val="10"/>
                <w:szCs w:val="10"/>
                <w:lang w:val="en-GB" w:eastAsia="de-DE"/>
              </w:rPr>
              <w:t xml:space="preserve"> indication specific outcome measures should be considered. If there are considerable non-health benefits MCDA should be used</w:t>
            </w:r>
          </w:p>
        </w:tc>
      </w:tr>
      <w:tr w:rsidR="00A15687" w:rsidRPr="00172FA8" w14:paraId="5E5DE47A" w14:textId="77777777" w:rsidTr="00124BEF">
        <w:trPr>
          <w:trHeight w:val="356"/>
        </w:trPr>
        <w:tc>
          <w:tcPr>
            <w:tcW w:w="603" w:type="dxa"/>
            <w:shd w:val="clear" w:color="auto" w:fill="auto"/>
            <w:noWrap/>
            <w:vAlign w:val="bottom"/>
          </w:tcPr>
          <w:p w14:paraId="47367497" w14:textId="12A488C8"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Hailey, David</w:t>
            </w:r>
            <w:r w:rsidRPr="00172FA8">
              <w:rPr>
                <w:rFonts w:eastAsia="Times New Roman" w:cstheme="minorHAnsi"/>
                <w:color w:val="000000"/>
                <w:sz w:val="10"/>
                <w:szCs w:val="10"/>
                <w:lang w:val="en-GB" w:eastAsia="de-DE"/>
              </w:rPr>
              <w:t xml:space="preserve"> 2004</w:t>
            </w:r>
          </w:p>
        </w:tc>
        <w:tc>
          <w:tcPr>
            <w:tcW w:w="584" w:type="dxa"/>
            <w:shd w:val="clear" w:color="auto" w:fill="auto"/>
            <w:vAlign w:val="bottom"/>
          </w:tcPr>
          <w:p w14:paraId="0F239BED" w14:textId="77777777" w:rsidR="00A15687" w:rsidRPr="00172FA8" w:rsidRDefault="00A15687" w:rsidP="00663C0B">
            <w:pPr>
              <w:rPr>
                <w:rFonts w:eastAsia="Times New Roman" w:cstheme="minorHAnsi"/>
                <w:color w:val="000000"/>
                <w:sz w:val="10"/>
                <w:szCs w:val="10"/>
                <w:lang w:val="en-GB" w:eastAsia="de-DE"/>
              </w:rPr>
            </w:pPr>
          </w:p>
        </w:tc>
        <w:tc>
          <w:tcPr>
            <w:tcW w:w="509" w:type="dxa"/>
            <w:shd w:val="clear" w:color="auto" w:fill="auto"/>
            <w:vAlign w:val="bottom"/>
          </w:tcPr>
          <w:p w14:paraId="6421891E" w14:textId="77777777" w:rsidR="00A15687" w:rsidRPr="00172FA8" w:rsidRDefault="00A15687" w:rsidP="00663C0B">
            <w:pPr>
              <w:rPr>
                <w:rFonts w:eastAsia="Times New Roman" w:cstheme="minorHAnsi"/>
                <w:color w:val="000000"/>
                <w:sz w:val="10"/>
                <w:szCs w:val="10"/>
                <w:lang w:val="en-GB" w:eastAsia="de-DE"/>
              </w:rPr>
            </w:pPr>
          </w:p>
        </w:tc>
        <w:tc>
          <w:tcPr>
            <w:tcW w:w="2266" w:type="dxa"/>
            <w:shd w:val="clear" w:color="auto" w:fill="auto"/>
            <w:vAlign w:val="bottom"/>
          </w:tcPr>
          <w:p w14:paraId="2088CD94" w14:textId="3590D8BC"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data availability and analytic resources</w:t>
            </w:r>
          </w:p>
        </w:tc>
        <w:tc>
          <w:tcPr>
            <w:tcW w:w="711" w:type="dxa"/>
            <w:shd w:val="clear" w:color="auto" w:fill="auto"/>
            <w:vAlign w:val="bottom"/>
          </w:tcPr>
          <w:p w14:paraId="3B435B71" w14:textId="10D77094"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276" w:type="dxa"/>
            <w:shd w:val="clear" w:color="auto" w:fill="auto"/>
            <w:vAlign w:val="bottom"/>
          </w:tcPr>
          <w:p w14:paraId="2217CC21" w14:textId="34068DCC"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social audit analysis, cost-consequence matrix</w:t>
            </w:r>
          </w:p>
        </w:tc>
        <w:tc>
          <w:tcPr>
            <w:tcW w:w="709" w:type="dxa"/>
            <w:shd w:val="clear" w:color="auto" w:fill="auto"/>
            <w:vAlign w:val="bottom"/>
          </w:tcPr>
          <w:p w14:paraId="05FECBCF" w14:textId="7A7A8F24"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567" w:type="dxa"/>
            <w:shd w:val="clear" w:color="auto" w:fill="auto"/>
            <w:vAlign w:val="bottom"/>
          </w:tcPr>
          <w:p w14:paraId="1ADD720F" w14:textId="4AD25595"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1134" w:type="dxa"/>
            <w:shd w:val="clear" w:color="auto" w:fill="auto"/>
            <w:vAlign w:val="bottom"/>
          </w:tcPr>
          <w:p w14:paraId="4B8436E8" w14:textId="23FD0137"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depends on stage of development</w:t>
            </w:r>
          </w:p>
        </w:tc>
        <w:tc>
          <w:tcPr>
            <w:tcW w:w="1842" w:type="dxa"/>
            <w:shd w:val="clear" w:color="auto" w:fill="auto"/>
            <w:vAlign w:val="bottom"/>
          </w:tcPr>
          <w:p w14:paraId="2A3B3AC6" w14:textId="296B4998"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c</w:t>
            </w:r>
            <w:r w:rsidR="007A2EE3">
              <w:rPr>
                <w:rFonts w:eastAsia="Times New Roman" w:cstheme="minorHAnsi"/>
                <w:color w:val="000000"/>
                <w:sz w:val="10"/>
                <w:szCs w:val="10"/>
                <w:lang w:val="en-GB" w:eastAsia="de-DE"/>
              </w:rPr>
              <w:t>o</w:t>
            </w:r>
            <w:r w:rsidRPr="00A21C90">
              <w:rPr>
                <w:rFonts w:eastAsia="Times New Roman" w:cstheme="minorHAnsi"/>
                <w:color w:val="000000"/>
                <w:sz w:val="10"/>
                <w:szCs w:val="10"/>
                <w:lang w:val="en-GB" w:eastAsia="de-DE"/>
              </w:rPr>
              <w:t>sts per unit of service are hight at low caseloads, but will decline with volume of use; costs are expected to decline due to cheaper equipment costs in future</w:t>
            </w:r>
          </w:p>
        </w:tc>
        <w:tc>
          <w:tcPr>
            <w:tcW w:w="709" w:type="dxa"/>
            <w:shd w:val="clear" w:color="auto" w:fill="auto"/>
            <w:vAlign w:val="bottom"/>
          </w:tcPr>
          <w:p w14:paraId="3D4A8543" w14:textId="59417766"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equity</w:t>
            </w:r>
          </w:p>
        </w:tc>
        <w:tc>
          <w:tcPr>
            <w:tcW w:w="851" w:type="dxa"/>
            <w:shd w:val="clear" w:color="auto" w:fill="auto"/>
            <w:vAlign w:val="bottom"/>
          </w:tcPr>
          <w:p w14:paraId="6EE7322E" w14:textId="3F8E76B2"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 possible</w:t>
            </w:r>
          </w:p>
        </w:tc>
        <w:tc>
          <w:tcPr>
            <w:tcW w:w="1559" w:type="dxa"/>
            <w:shd w:val="clear" w:color="auto" w:fill="auto"/>
            <w:vAlign w:val="bottom"/>
          </w:tcPr>
          <w:p w14:paraId="367CFC8F" w14:textId="55A1B133" w:rsidR="00A15687" w:rsidRPr="00172FA8" w:rsidRDefault="007A2EE3" w:rsidP="00663C0B">
            <w:pPr>
              <w:rPr>
                <w:rFonts w:eastAsia="Times New Roman" w:cstheme="minorHAnsi"/>
                <w:color w:val="000000"/>
                <w:sz w:val="10"/>
                <w:szCs w:val="10"/>
                <w:lang w:val="en-GB" w:eastAsia="de-DE"/>
              </w:rPr>
            </w:pPr>
            <w:r>
              <w:rPr>
                <w:rFonts w:eastAsia="Times New Roman" w:cstheme="minorHAnsi"/>
                <w:color w:val="000000"/>
                <w:sz w:val="10"/>
                <w:szCs w:val="10"/>
                <w:lang w:val="en-GB" w:eastAsia="de-DE"/>
              </w:rPr>
              <w:t>n.m.</w:t>
            </w:r>
          </w:p>
        </w:tc>
        <w:tc>
          <w:tcPr>
            <w:tcW w:w="1984" w:type="dxa"/>
            <w:shd w:val="clear" w:color="auto" w:fill="auto"/>
            <w:vAlign w:val="bottom"/>
          </w:tcPr>
          <w:p w14:paraId="73F1B883" w14:textId="576C610E" w:rsidR="00A15687" w:rsidRPr="00172FA8"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mainly health outcomes</w:t>
            </w:r>
          </w:p>
        </w:tc>
      </w:tr>
      <w:tr w:rsidR="00A15687" w:rsidRPr="00172FA8" w14:paraId="6D2AC141" w14:textId="77777777" w:rsidTr="00272640">
        <w:trPr>
          <w:trHeight w:val="718"/>
        </w:trPr>
        <w:tc>
          <w:tcPr>
            <w:tcW w:w="603" w:type="dxa"/>
            <w:shd w:val="clear" w:color="auto" w:fill="auto"/>
            <w:vAlign w:val="bottom"/>
            <w:hideMark/>
          </w:tcPr>
          <w:p w14:paraId="6AEF3040" w14:textId="72890AF2"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Sisk; Sanders</w:t>
            </w:r>
            <w:r w:rsidRPr="00172FA8">
              <w:rPr>
                <w:rFonts w:eastAsia="Times New Roman" w:cstheme="minorHAnsi"/>
                <w:color w:val="000000"/>
                <w:sz w:val="10"/>
                <w:szCs w:val="10"/>
                <w:lang w:val="en-GB" w:eastAsia="de-DE"/>
              </w:rPr>
              <w:t xml:space="preserve"> 1998</w:t>
            </w:r>
          </w:p>
        </w:tc>
        <w:tc>
          <w:tcPr>
            <w:tcW w:w="584" w:type="dxa"/>
            <w:shd w:val="clear" w:color="auto" w:fill="auto"/>
            <w:vAlign w:val="bottom"/>
            <w:hideMark/>
          </w:tcPr>
          <w:p w14:paraId="0DB2E756"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telemedicine</w:t>
            </w:r>
          </w:p>
        </w:tc>
        <w:tc>
          <w:tcPr>
            <w:tcW w:w="509" w:type="dxa"/>
            <w:shd w:val="clear" w:color="auto" w:fill="auto"/>
            <w:vAlign w:val="bottom"/>
            <w:hideMark/>
          </w:tcPr>
          <w:p w14:paraId="2361738F"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Framework</w:t>
            </w:r>
          </w:p>
        </w:tc>
        <w:tc>
          <w:tcPr>
            <w:tcW w:w="2266" w:type="dxa"/>
            <w:shd w:val="clear" w:color="auto" w:fill="auto"/>
            <w:vAlign w:val="bottom"/>
            <w:hideMark/>
          </w:tcPr>
          <w:p w14:paraId="4FBD4DDF"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multiple uses of the technology that are difficult to apportion to one service; the system may lead to expanded indications to use; dynamic process: development of technology (may decrease costs) and increased experience by user (may increase health benefits)</w:t>
            </w:r>
          </w:p>
        </w:tc>
        <w:tc>
          <w:tcPr>
            <w:tcW w:w="711" w:type="dxa"/>
            <w:shd w:val="clear" w:color="auto" w:fill="auto"/>
            <w:vAlign w:val="bottom"/>
            <w:hideMark/>
          </w:tcPr>
          <w:p w14:paraId="2C613D2E"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w:t>
            </w:r>
          </w:p>
        </w:tc>
        <w:tc>
          <w:tcPr>
            <w:tcW w:w="1276" w:type="dxa"/>
            <w:shd w:val="clear" w:color="auto" w:fill="auto"/>
            <w:vAlign w:val="bottom"/>
            <w:hideMark/>
          </w:tcPr>
          <w:p w14:paraId="2974C708" w14:textId="3DF3123C"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standard methods; uncertainties should be </w:t>
            </w:r>
            <w:r w:rsidR="00272640" w:rsidRPr="00A21C90">
              <w:rPr>
                <w:rFonts w:eastAsia="Times New Roman" w:cstheme="minorHAnsi"/>
                <w:color w:val="000000"/>
                <w:sz w:val="10"/>
                <w:szCs w:val="10"/>
                <w:lang w:val="en-GB" w:eastAsia="de-DE"/>
              </w:rPr>
              <w:t>addressed</w:t>
            </w:r>
            <w:r w:rsidRPr="00A21C90">
              <w:rPr>
                <w:rFonts w:eastAsia="Times New Roman" w:cstheme="minorHAnsi"/>
                <w:color w:val="000000"/>
                <w:sz w:val="10"/>
                <w:szCs w:val="10"/>
                <w:lang w:val="en-GB" w:eastAsia="de-DE"/>
              </w:rPr>
              <w:t xml:space="preserve"> in sensitivity analyses</w:t>
            </w:r>
          </w:p>
        </w:tc>
        <w:tc>
          <w:tcPr>
            <w:tcW w:w="709" w:type="dxa"/>
            <w:shd w:val="clear" w:color="auto" w:fill="auto"/>
            <w:vAlign w:val="bottom"/>
            <w:hideMark/>
          </w:tcPr>
          <w:p w14:paraId="00045607"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567" w:type="dxa"/>
            <w:shd w:val="clear" w:color="auto" w:fill="auto"/>
            <w:vAlign w:val="bottom"/>
            <w:hideMark/>
          </w:tcPr>
          <w:p w14:paraId="4164EF09"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1134" w:type="dxa"/>
            <w:shd w:val="clear" w:color="auto" w:fill="auto"/>
            <w:vAlign w:val="bottom"/>
            <w:hideMark/>
          </w:tcPr>
          <w:p w14:paraId="35620388"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societal perspective is most relevant</w:t>
            </w:r>
          </w:p>
        </w:tc>
        <w:tc>
          <w:tcPr>
            <w:tcW w:w="1842" w:type="dxa"/>
            <w:shd w:val="clear" w:color="auto" w:fill="auto"/>
            <w:vAlign w:val="bottom"/>
            <w:hideMark/>
          </w:tcPr>
          <w:p w14:paraId="0C2E3939"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see specific challenges</w:t>
            </w:r>
          </w:p>
        </w:tc>
        <w:tc>
          <w:tcPr>
            <w:tcW w:w="709" w:type="dxa"/>
            <w:shd w:val="clear" w:color="auto" w:fill="auto"/>
            <w:vAlign w:val="bottom"/>
            <w:hideMark/>
          </w:tcPr>
          <w:p w14:paraId="6455F7C0"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851" w:type="dxa"/>
            <w:shd w:val="clear" w:color="auto" w:fill="auto"/>
            <w:vAlign w:val="bottom"/>
            <w:hideMark/>
          </w:tcPr>
          <w:p w14:paraId="510E7BDB"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1559" w:type="dxa"/>
            <w:shd w:val="clear" w:color="auto" w:fill="auto"/>
            <w:vAlign w:val="bottom"/>
            <w:hideMark/>
          </w:tcPr>
          <w:p w14:paraId="33B26B1C"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see specific challenges</w:t>
            </w:r>
          </w:p>
        </w:tc>
        <w:tc>
          <w:tcPr>
            <w:tcW w:w="1984" w:type="dxa"/>
            <w:shd w:val="clear" w:color="auto" w:fill="auto"/>
            <w:vAlign w:val="bottom"/>
            <w:hideMark/>
          </w:tcPr>
          <w:p w14:paraId="5EC3CFE3" w14:textId="3A48B37A" w:rsidR="00A15687" w:rsidRPr="00A21C90" w:rsidRDefault="00272640"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health</w:t>
            </w:r>
            <w:r w:rsidR="00A15687" w:rsidRPr="00A21C90">
              <w:rPr>
                <w:rFonts w:eastAsia="Times New Roman" w:cstheme="minorHAnsi"/>
                <w:color w:val="000000"/>
                <w:sz w:val="10"/>
                <w:szCs w:val="10"/>
                <w:lang w:val="en-GB" w:eastAsia="de-DE"/>
              </w:rPr>
              <w:t xml:space="preserve"> benefits or health outcomes (length/quality of life, physical, emotional, and social functioning; intermediate outcomes such as 'cases of disease diagnosed' may be acceptable</w:t>
            </w:r>
          </w:p>
        </w:tc>
      </w:tr>
      <w:tr w:rsidR="00A15687" w:rsidRPr="00172FA8" w14:paraId="0E2C627D" w14:textId="77777777" w:rsidTr="00124BEF">
        <w:trPr>
          <w:trHeight w:val="67"/>
        </w:trPr>
        <w:tc>
          <w:tcPr>
            <w:tcW w:w="603" w:type="dxa"/>
            <w:shd w:val="clear" w:color="auto" w:fill="auto"/>
            <w:noWrap/>
            <w:vAlign w:val="bottom"/>
            <w:hideMark/>
          </w:tcPr>
          <w:p w14:paraId="17C21EBA" w14:textId="1033AE96" w:rsidR="00A15687" w:rsidRPr="00A21C90" w:rsidRDefault="00A15687" w:rsidP="00663C0B">
            <w:pPr>
              <w:rPr>
                <w:rFonts w:eastAsia="Times New Roman" w:cstheme="minorHAnsi"/>
                <w:color w:val="FF0000"/>
                <w:sz w:val="10"/>
                <w:szCs w:val="10"/>
                <w:lang w:val="en-GB" w:eastAsia="de-DE"/>
              </w:rPr>
            </w:pPr>
            <w:r w:rsidRPr="00A15687">
              <w:rPr>
                <w:rFonts w:eastAsia="Times New Roman" w:cstheme="minorHAnsi"/>
                <w:color w:val="262626" w:themeColor="text1" w:themeTint="D9"/>
                <w:sz w:val="10"/>
                <w:szCs w:val="10"/>
                <w:lang w:val="en-GB" w:eastAsia="de-DE"/>
              </w:rPr>
              <w:t>Jacobs; Barnett 2017</w:t>
            </w:r>
          </w:p>
        </w:tc>
        <w:tc>
          <w:tcPr>
            <w:tcW w:w="584" w:type="dxa"/>
            <w:shd w:val="clear" w:color="auto" w:fill="auto"/>
            <w:vAlign w:val="bottom"/>
            <w:hideMark/>
          </w:tcPr>
          <w:p w14:paraId="37F39173"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general</w:t>
            </w:r>
          </w:p>
        </w:tc>
        <w:tc>
          <w:tcPr>
            <w:tcW w:w="509" w:type="dxa"/>
            <w:shd w:val="clear" w:color="auto" w:fill="auto"/>
            <w:vAlign w:val="bottom"/>
            <w:hideMark/>
          </w:tcPr>
          <w:p w14:paraId="161FBAFA"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Discussion</w:t>
            </w:r>
          </w:p>
        </w:tc>
        <w:tc>
          <w:tcPr>
            <w:tcW w:w="2266" w:type="dxa"/>
            <w:shd w:val="clear" w:color="auto" w:fill="auto"/>
            <w:vAlign w:val="bottom"/>
            <w:hideMark/>
          </w:tcPr>
          <w:p w14:paraId="14A98402" w14:textId="725249D5"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rapid technological changes; </w:t>
            </w:r>
            <w:r w:rsidR="00272640" w:rsidRPr="00A21C90">
              <w:rPr>
                <w:rFonts w:eastAsia="Times New Roman" w:cstheme="minorHAnsi"/>
                <w:color w:val="000000"/>
                <w:sz w:val="10"/>
                <w:szCs w:val="10"/>
                <w:lang w:val="en-GB" w:eastAsia="de-DE"/>
              </w:rPr>
              <w:t>heterogeneity</w:t>
            </w:r>
            <w:r w:rsidRPr="00A21C90">
              <w:rPr>
                <w:rFonts w:eastAsia="Times New Roman" w:cstheme="minorHAnsi"/>
                <w:color w:val="000000"/>
                <w:sz w:val="10"/>
                <w:szCs w:val="10"/>
                <w:lang w:val="en-GB" w:eastAsia="de-DE"/>
              </w:rPr>
              <w:t xml:space="preserve"> of telehealth interventions limits transferability and challenges model-based costing approaches; greater necessity to include </w:t>
            </w:r>
            <w:r w:rsidR="007A2EE3" w:rsidRPr="00A21C90">
              <w:rPr>
                <w:rFonts w:eastAsia="Times New Roman" w:cstheme="minorHAnsi"/>
                <w:color w:val="000000"/>
                <w:sz w:val="10"/>
                <w:szCs w:val="10"/>
                <w:lang w:val="en-GB" w:eastAsia="de-DE"/>
              </w:rPr>
              <w:t>patients’</w:t>
            </w:r>
            <w:r w:rsidRPr="00A21C90">
              <w:rPr>
                <w:rFonts w:eastAsia="Times New Roman" w:cstheme="minorHAnsi"/>
                <w:color w:val="000000"/>
                <w:sz w:val="10"/>
                <w:szCs w:val="10"/>
                <w:lang w:val="en-GB" w:eastAsia="de-DE"/>
              </w:rPr>
              <w:t xml:space="preserve"> perspectives (</w:t>
            </w:r>
            <w:r w:rsidR="00272640" w:rsidRPr="00A21C90">
              <w:rPr>
                <w:rFonts w:eastAsia="Times New Roman" w:cstheme="minorHAnsi"/>
                <w:color w:val="000000"/>
                <w:sz w:val="10"/>
                <w:szCs w:val="10"/>
                <w:lang w:val="en-GB" w:eastAsia="de-DE"/>
              </w:rPr>
              <w:t>resources</w:t>
            </w:r>
            <w:r w:rsidRPr="00A21C90">
              <w:rPr>
                <w:rFonts w:eastAsia="Times New Roman" w:cstheme="minorHAnsi"/>
                <w:color w:val="000000"/>
                <w:sz w:val="10"/>
                <w:szCs w:val="10"/>
                <w:lang w:val="en-GB" w:eastAsia="de-DE"/>
              </w:rPr>
              <w:t xml:space="preserve"> used by patients and caregivers)</w:t>
            </w:r>
          </w:p>
        </w:tc>
        <w:tc>
          <w:tcPr>
            <w:tcW w:w="711" w:type="dxa"/>
            <w:shd w:val="clear" w:color="auto" w:fill="auto"/>
            <w:vAlign w:val="bottom"/>
            <w:hideMark/>
          </w:tcPr>
          <w:p w14:paraId="4639F40E"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yes (costing methods)</w:t>
            </w:r>
          </w:p>
        </w:tc>
        <w:tc>
          <w:tcPr>
            <w:tcW w:w="1276" w:type="dxa"/>
            <w:shd w:val="clear" w:color="auto" w:fill="auto"/>
            <w:vAlign w:val="bottom"/>
            <w:hideMark/>
          </w:tcPr>
          <w:p w14:paraId="38548C53"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micro-costing for new technologies; iterative approach</w:t>
            </w:r>
          </w:p>
        </w:tc>
        <w:tc>
          <w:tcPr>
            <w:tcW w:w="709" w:type="dxa"/>
            <w:shd w:val="clear" w:color="auto" w:fill="auto"/>
            <w:vAlign w:val="bottom"/>
            <w:hideMark/>
          </w:tcPr>
          <w:p w14:paraId="1E981609"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567" w:type="dxa"/>
            <w:shd w:val="clear" w:color="auto" w:fill="auto"/>
            <w:vAlign w:val="bottom"/>
            <w:hideMark/>
          </w:tcPr>
          <w:p w14:paraId="4B920E7E"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1134" w:type="dxa"/>
            <w:shd w:val="clear" w:color="auto" w:fill="auto"/>
            <w:vAlign w:val="bottom"/>
            <w:hideMark/>
          </w:tcPr>
          <w:p w14:paraId="46AFAE5F"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inclusion of patient perspective is often relevant to accurately assess cost-effectiveness</w:t>
            </w:r>
          </w:p>
        </w:tc>
        <w:tc>
          <w:tcPr>
            <w:tcW w:w="1842" w:type="dxa"/>
            <w:shd w:val="clear" w:color="auto" w:fill="auto"/>
            <w:vAlign w:val="bottom"/>
            <w:hideMark/>
          </w:tcPr>
          <w:p w14:paraId="5CC15378" w14:textId="253ABE01"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 xml:space="preserve">disagreement on the inclusion of research and development costs; consideration of life-cycle of new technologies is necessary; costing studies should be updated throughout the different phases of a technology's life </w:t>
            </w:r>
            <w:r w:rsidR="00272640" w:rsidRPr="00A21C90">
              <w:rPr>
                <w:rFonts w:eastAsia="Times New Roman" w:cstheme="minorHAnsi"/>
                <w:color w:val="000000"/>
                <w:sz w:val="10"/>
                <w:szCs w:val="10"/>
                <w:lang w:val="en-GB" w:eastAsia="de-DE"/>
              </w:rPr>
              <w:t>cycle</w:t>
            </w:r>
            <w:r w:rsidRPr="00A21C90">
              <w:rPr>
                <w:rFonts w:eastAsia="Times New Roman" w:cstheme="minorHAnsi"/>
                <w:color w:val="000000"/>
                <w:sz w:val="10"/>
                <w:szCs w:val="10"/>
                <w:lang w:val="en-GB" w:eastAsia="de-DE"/>
              </w:rPr>
              <w:t xml:space="preserve"> (recommendation to use micro-costing methods, especially if no pricing information is available; decreasing prices have to be taken in account); </w:t>
            </w:r>
          </w:p>
        </w:tc>
        <w:tc>
          <w:tcPr>
            <w:tcW w:w="709" w:type="dxa"/>
            <w:shd w:val="clear" w:color="auto" w:fill="auto"/>
            <w:vAlign w:val="bottom"/>
            <w:hideMark/>
          </w:tcPr>
          <w:p w14:paraId="7FABFE14"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851" w:type="dxa"/>
            <w:shd w:val="clear" w:color="auto" w:fill="auto"/>
            <w:vAlign w:val="bottom"/>
            <w:hideMark/>
          </w:tcPr>
          <w:p w14:paraId="043F3D28"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1559" w:type="dxa"/>
            <w:shd w:val="clear" w:color="auto" w:fill="auto"/>
            <w:vAlign w:val="bottom"/>
            <w:hideMark/>
          </w:tcPr>
          <w:p w14:paraId="0919CCA0"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c>
          <w:tcPr>
            <w:tcW w:w="1984" w:type="dxa"/>
            <w:shd w:val="clear" w:color="auto" w:fill="auto"/>
            <w:vAlign w:val="bottom"/>
            <w:hideMark/>
          </w:tcPr>
          <w:p w14:paraId="3DCBC63B" w14:textId="77777777" w:rsidR="00A15687" w:rsidRPr="00A21C90" w:rsidRDefault="00A15687" w:rsidP="00663C0B">
            <w:pPr>
              <w:rPr>
                <w:rFonts w:eastAsia="Times New Roman" w:cstheme="minorHAnsi"/>
                <w:color w:val="000000"/>
                <w:sz w:val="10"/>
                <w:szCs w:val="10"/>
                <w:lang w:val="en-GB" w:eastAsia="de-DE"/>
              </w:rPr>
            </w:pPr>
            <w:r w:rsidRPr="00A21C90">
              <w:rPr>
                <w:rFonts w:eastAsia="Times New Roman" w:cstheme="minorHAnsi"/>
                <w:color w:val="000000"/>
                <w:sz w:val="10"/>
                <w:szCs w:val="10"/>
                <w:lang w:val="en-GB" w:eastAsia="de-DE"/>
              </w:rPr>
              <w:t>n.m.</w:t>
            </w:r>
          </w:p>
        </w:tc>
      </w:tr>
    </w:tbl>
    <w:p w14:paraId="01763924" w14:textId="77777777" w:rsidR="00D10D02" w:rsidRPr="00172FA8" w:rsidRDefault="00D10D02">
      <w:pPr>
        <w:rPr>
          <w:rFonts w:cstheme="minorHAnsi"/>
          <w:sz w:val="10"/>
          <w:szCs w:val="10"/>
          <w:lang w:val="en-GB"/>
        </w:rPr>
      </w:pPr>
    </w:p>
    <w:sectPr w:rsidR="00D10D02" w:rsidRPr="00172FA8" w:rsidSect="00A21C90">
      <w:pgSz w:w="1684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New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90"/>
    <w:rsid w:val="0002481D"/>
    <w:rsid w:val="000631C4"/>
    <w:rsid w:val="00066042"/>
    <w:rsid w:val="000A1256"/>
    <w:rsid w:val="000B7ABA"/>
    <w:rsid w:val="000C0F82"/>
    <w:rsid w:val="000D3A02"/>
    <w:rsid w:val="00122EF2"/>
    <w:rsid w:val="00123888"/>
    <w:rsid w:val="00124BEF"/>
    <w:rsid w:val="001301E8"/>
    <w:rsid w:val="00172FA8"/>
    <w:rsid w:val="001A7D49"/>
    <w:rsid w:val="001E2473"/>
    <w:rsid w:val="002257F4"/>
    <w:rsid w:val="00230B6F"/>
    <w:rsid w:val="00241E28"/>
    <w:rsid w:val="00272640"/>
    <w:rsid w:val="002A14D9"/>
    <w:rsid w:val="00343A1D"/>
    <w:rsid w:val="00343D6D"/>
    <w:rsid w:val="003529F1"/>
    <w:rsid w:val="003B1037"/>
    <w:rsid w:val="003B1F06"/>
    <w:rsid w:val="003B7921"/>
    <w:rsid w:val="003C401B"/>
    <w:rsid w:val="003D7FEA"/>
    <w:rsid w:val="004440EA"/>
    <w:rsid w:val="00462C71"/>
    <w:rsid w:val="00482047"/>
    <w:rsid w:val="004946D8"/>
    <w:rsid w:val="004F5CAF"/>
    <w:rsid w:val="005150AC"/>
    <w:rsid w:val="005224F7"/>
    <w:rsid w:val="0053143A"/>
    <w:rsid w:val="0053510D"/>
    <w:rsid w:val="00554582"/>
    <w:rsid w:val="00556313"/>
    <w:rsid w:val="00566CEF"/>
    <w:rsid w:val="005C3DFE"/>
    <w:rsid w:val="005C4AE5"/>
    <w:rsid w:val="005E694E"/>
    <w:rsid w:val="005F6BA0"/>
    <w:rsid w:val="00616242"/>
    <w:rsid w:val="00617B77"/>
    <w:rsid w:val="00623368"/>
    <w:rsid w:val="00623F92"/>
    <w:rsid w:val="00646AE0"/>
    <w:rsid w:val="00663C0B"/>
    <w:rsid w:val="00664B4F"/>
    <w:rsid w:val="006903FF"/>
    <w:rsid w:val="006A198E"/>
    <w:rsid w:val="006B3458"/>
    <w:rsid w:val="006B6C78"/>
    <w:rsid w:val="006C4AA9"/>
    <w:rsid w:val="006E487E"/>
    <w:rsid w:val="006E4957"/>
    <w:rsid w:val="0070689B"/>
    <w:rsid w:val="00710058"/>
    <w:rsid w:val="007235CA"/>
    <w:rsid w:val="00797A05"/>
    <w:rsid w:val="007A2EE3"/>
    <w:rsid w:val="007A5F3F"/>
    <w:rsid w:val="0082475B"/>
    <w:rsid w:val="00832916"/>
    <w:rsid w:val="00870F66"/>
    <w:rsid w:val="008A0B55"/>
    <w:rsid w:val="008B5462"/>
    <w:rsid w:val="008E4893"/>
    <w:rsid w:val="0091263B"/>
    <w:rsid w:val="0092733E"/>
    <w:rsid w:val="009368D3"/>
    <w:rsid w:val="009C6D52"/>
    <w:rsid w:val="009F301F"/>
    <w:rsid w:val="009F6182"/>
    <w:rsid w:val="00A12FB8"/>
    <w:rsid w:val="00A15687"/>
    <w:rsid w:val="00A21C90"/>
    <w:rsid w:val="00A520FB"/>
    <w:rsid w:val="00A65F69"/>
    <w:rsid w:val="00A85F19"/>
    <w:rsid w:val="00AC3CA0"/>
    <w:rsid w:val="00AD2F26"/>
    <w:rsid w:val="00AD334A"/>
    <w:rsid w:val="00AF113A"/>
    <w:rsid w:val="00B12807"/>
    <w:rsid w:val="00B15044"/>
    <w:rsid w:val="00B5320B"/>
    <w:rsid w:val="00B9145A"/>
    <w:rsid w:val="00B97D6D"/>
    <w:rsid w:val="00BA4785"/>
    <w:rsid w:val="00BD7E8C"/>
    <w:rsid w:val="00C04B3C"/>
    <w:rsid w:val="00C20BB4"/>
    <w:rsid w:val="00C439AA"/>
    <w:rsid w:val="00C54F0F"/>
    <w:rsid w:val="00C71A7C"/>
    <w:rsid w:val="00CB359D"/>
    <w:rsid w:val="00CB3B94"/>
    <w:rsid w:val="00CC262E"/>
    <w:rsid w:val="00CD7280"/>
    <w:rsid w:val="00CF07AC"/>
    <w:rsid w:val="00D06A4A"/>
    <w:rsid w:val="00D10D02"/>
    <w:rsid w:val="00D220EE"/>
    <w:rsid w:val="00D2372F"/>
    <w:rsid w:val="00D31CE8"/>
    <w:rsid w:val="00D373E2"/>
    <w:rsid w:val="00DD7461"/>
    <w:rsid w:val="00DF2C94"/>
    <w:rsid w:val="00E37D32"/>
    <w:rsid w:val="00E42949"/>
    <w:rsid w:val="00E613B2"/>
    <w:rsid w:val="00E75F01"/>
    <w:rsid w:val="00EC328B"/>
    <w:rsid w:val="00EE1EC7"/>
    <w:rsid w:val="00F32CE4"/>
    <w:rsid w:val="00FB2E46"/>
    <w:rsid w:val="00FD42C0"/>
    <w:rsid w:val="00FE1E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1201F6BB"/>
  <w15:chartTrackingRefBased/>
  <w15:docId w15:val="{C20D73FF-BF5E-544F-9D0D-4FA82F4A9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sonormal0">
    <w:name w:val="msonormal"/>
    <w:basedOn w:val="Standard"/>
    <w:rsid w:val="00A21C90"/>
    <w:pPr>
      <w:spacing w:before="100" w:beforeAutospacing="1" w:after="100" w:afterAutospacing="1"/>
    </w:pPr>
    <w:rPr>
      <w:rFonts w:ascii="Times New Roman" w:eastAsia="Times New Roman" w:hAnsi="Times New Roman" w:cs="Times New Roman"/>
      <w:lang w:eastAsia="de-DE"/>
    </w:rPr>
  </w:style>
  <w:style w:type="paragraph" w:customStyle="1" w:styleId="font5">
    <w:name w:val="font5"/>
    <w:basedOn w:val="Standard"/>
    <w:rsid w:val="00A21C90"/>
    <w:pPr>
      <w:spacing w:before="100" w:beforeAutospacing="1" w:after="100" w:afterAutospacing="1"/>
    </w:pPr>
    <w:rPr>
      <w:rFonts w:ascii="Calibri" w:eastAsia="Times New Roman" w:hAnsi="Calibri" w:cs="Calibri"/>
      <w:b/>
      <w:bCs/>
      <w:color w:val="000000"/>
      <w:lang w:eastAsia="de-DE"/>
    </w:rPr>
  </w:style>
  <w:style w:type="paragraph" w:customStyle="1" w:styleId="font6">
    <w:name w:val="font6"/>
    <w:basedOn w:val="Standard"/>
    <w:rsid w:val="00A21C90"/>
    <w:pPr>
      <w:spacing w:before="100" w:beforeAutospacing="1" w:after="100" w:afterAutospacing="1"/>
    </w:pPr>
    <w:rPr>
      <w:rFonts w:ascii="Calibri" w:eastAsia="Times New Roman" w:hAnsi="Calibri" w:cs="Calibri"/>
      <w:color w:val="548235"/>
      <w:lang w:eastAsia="de-DE"/>
    </w:rPr>
  </w:style>
  <w:style w:type="paragraph" w:customStyle="1" w:styleId="font7">
    <w:name w:val="font7"/>
    <w:basedOn w:val="Standard"/>
    <w:rsid w:val="00A21C90"/>
    <w:pPr>
      <w:spacing w:before="100" w:beforeAutospacing="1" w:after="100" w:afterAutospacing="1"/>
    </w:pPr>
    <w:rPr>
      <w:rFonts w:ascii="Calibri" w:eastAsia="Times New Roman" w:hAnsi="Calibri" w:cs="Calibri"/>
      <w:b/>
      <w:bCs/>
      <w:i/>
      <w:iCs/>
      <w:color w:val="548235"/>
      <w:lang w:eastAsia="de-DE"/>
    </w:rPr>
  </w:style>
  <w:style w:type="paragraph" w:customStyle="1" w:styleId="font8">
    <w:name w:val="font8"/>
    <w:basedOn w:val="Standard"/>
    <w:rsid w:val="00A21C90"/>
    <w:pPr>
      <w:spacing w:before="100" w:beforeAutospacing="1" w:after="100" w:afterAutospacing="1"/>
    </w:pPr>
    <w:rPr>
      <w:rFonts w:ascii="Calibri" w:eastAsia="Times New Roman" w:hAnsi="Calibri" w:cs="Calibri"/>
      <w:i/>
      <w:iCs/>
      <w:color w:val="548235"/>
      <w:lang w:eastAsia="de-DE"/>
    </w:rPr>
  </w:style>
  <w:style w:type="paragraph" w:customStyle="1" w:styleId="font9">
    <w:name w:val="font9"/>
    <w:basedOn w:val="Standard"/>
    <w:rsid w:val="00A21C90"/>
    <w:pPr>
      <w:spacing w:before="100" w:beforeAutospacing="1" w:after="100" w:afterAutospacing="1"/>
    </w:pPr>
    <w:rPr>
      <w:rFonts w:ascii="Calibri" w:eastAsia="Times New Roman" w:hAnsi="Calibri" w:cs="Calibri"/>
      <w:b/>
      <w:bCs/>
      <w:color w:val="548235"/>
      <w:lang w:eastAsia="de-DE"/>
    </w:rPr>
  </w:style>
  <w:style w:type="paragraph" w:customStyle="1" w:styleId="font10">
    <w:name w:val="font10"/>
    <w:basedOn w:val="Standard"/>
    <w:rsid w:val="00A21C90"/>
    <w:pPr>
      <w:spacing w:before="100" w:beforeAutospacing="1" w:after="100" w:afterAutospacing="1"/>
    </w:pPr>
    <w:rPr>
      <w:rFonts w:ascii="Calibri" w:eastAsia="Times New Roman" w:hAnsi="Calibri" w:cs="Calibri"/>
      <w:color w:val="000000"/>
      <w:lang w:eastAsia="de-DE"/>
    </w:rPr>
  </w:style>
  <w:style w:type="paragraph" w:customStyle="1" w:styleId="font11">
    <w:name w:val="font11"/>
    <w:basedOn w:val="Standard"/>
    <w:rsid w:val="00A21C90"/>
    <w:pPr>
      <w:spacing w:before="100" w:beforeAutospacing="1" w:after="100" w:afterAutospacing="1"/>
    </w:pPr>
    <w:rPr>
      <w:rFonts w:ascii="Calibri" w:eastAsia="Times New Roman" w:hAnsi="Calibri" w:cs="Calibri"/>
      <w:i/>
      <w:iCs/>
      <w:color w:val="FF0000"/>
      <w:lang w:eastAsia="de-DE"/>
    </w:rPr>
  </w:style>
  <w:style w:type="paragraph" w:customStyle="1" w:styleId="font12">
    <w:name w:val="font12"/>
    <w:basedOn w:val="Standard"/>
    <w:rsid w:val="00A21C90"/>
    <w:pPr>
      <w:spacing w:before="100" w:beforeAutospacing="1" w:after="100" w:afterAutospacing="1"/>
    </w:pPr>
    <w:rPr>
      <w:rFonts w:ascii="Calibri" w:eastAsia="Times New Roman" w:hAnsi="Calibri" w:cs="Calibri"/>
      <w:color w:val="FF0000"/>
      <w:lang w:eastAsia="de-DE"/>
    </w:rPr>
  </w:style>
  <w:style w:type="paragraph" w:customStyle="1" w:styleId="font13">
    <w:name w:val="font13"/>
    <w:basedOn w:val="Standard"/>
    <w:rsid w:val="00A21C90"/>
    <w:pPr>
      <w:spacing w:before="100" w:beforeAutospacing="1" w:after="100" w:afterAutospacing="1"/>
    </w:pPr>
    <w:rPr>
      <w:rFonts w:ascii="Calibri" w:eastAsia="Times New Roman" w:hAnsi="Calibri" w:cs="Calibri"/>
      <w:color w:val="000000"/>
      <w:lang w:eastAsia="de-DE"/>
    </w:rPr>
  </w:style>
  <w:style w:type="paragraph" w:customStyle="1" w:styleId="font14">
    <w:name w:val="font14"/>
    <w:basedOn w:val="Standard"/>
    <w:rsid w:val="00A21C90"/>
    <w:pPr>
      <w:spacing w:before="100" w:beforeAutospacing="1" w:after="100" w:afterAutospacing="1"/>
    </w:pPr>
    <w:rPr>
      <w:rFonts w:ascii="Calibri" w:eastAsia="Times New Roman" w:hAnsi="Calibri" w:cs="Calibri"/>
      <w:color w:val="C00000"/>
      <w:lang w:eastAsia="de-DE"/>
    </w:rPr>
  </w:style>
  <w:style w:type="paragraph" w:customStyle="1" w:styleId="xl63">
    <w:name w:val="xl63"/>
    <w:basedOn w:val="Standard"/>
    <w:rsid w:val="00A21C90"/>
    <w:pPr>
      <w:spacing w:before="100" w:beforeAutospacing="1" w:after="100" w:afterAutospacing="1"/>
    </w:pPr>
    <w:rPr>
      <w:rFonts w:ascii="Times New Roman" w:eastAsia="Times New Roman" w:hAnsi="Times New Roman" w:cs="Times New Roman"/>
      <w:lang w:eastAsia="de-DE"/>
    </w:rPr>
  </w:style>
  <w:style w:type="paragraph" w:customStyle="1" w:styleId="xl64">
    <w:name w:val="xl64"/>
    <w:basedOn w:val="Standard"/>
    <w:rsid w:val="00A21C90"/>
    <w:pPr>
      <w:spacing w:before="100" w:beforeAutospacing="1" w:after="100" w:afterAutospacing="1"/>
    </w:pPr>
    <w:rPr>
      <w:rFonts w:ascii="Times New Roman" w:eastAsia="Times New Roman" w:hAnsi="Times New Roman" w:cs="Times New Roman"/>
      <w:b/>
      <w:bCs/>
      <w:lang w:eastAsia="de-DE"/>
    </w:rPr>
  </w:style>
  <w:style w:type="paragraph" w:customStyle="1" w:styleId="xl65">
    <w:name w:val="xl65"/>
    <w:basedOn w:val="Standard"/>
    <w:rsid w:val="00A21C90"/>
    <w:pPr>
      <w:shd w:val="clear" w:color="000000" w:fill="FFF2CC"/>
      <w:spacing w:before="100" w:beforeAutospacing="1" w:after="100" w:afterAutospacing="1"/>
    </w:pPr>
    <w:rPr>
      <w:rFonts w:ascii="Times New Roman" w:eastAsia="Times New Roman" w:hAnsi="Times New Roman" w:cs="Times New Roman"/>
      <w:lang w:eastAsia="de-DE"/>
    </w:rPr>
  </w:style>
  <w:style w:type="paragraph" w:customStyle="1" w:styleId="xl66">
    <w:name w:val="xl66"/>
    <w:basedOn w:val="Standard"/>
    <w:rsid w:val="00A21C90"/>
    <w:pPr>
      <w:spacing w:before="100" w:beforeAutospacing="1" w:after="100" w:afterAutospacing="1"/>
    </w:pPr>
    <w:rPr>
      <w:rFonts w:ascii="Times New Roman" w:eastAsia="Times New Roman" w:hAnsi="Times New Roman" w:cs="Times New Roman"/>
      <w:color w:val="548235"/>
      <w:lang w:eastAsia="de-DE"/>
    </w:rPr>
  </w:style>
  <w:style w:type="paragraph" w:customStyle="1" w:styleId="xl67">
    <w:name w:val="xl67"/>
    <w:basedOn w:val="Standard"/>
    <w:rsid w:val="00A21C90"/>
    <w:pPr>
      <w:spacing w:before="100" w:beforeAutospacing="1" w:after="100" w:afterAutospacing="1"/>
    </w:pPr>
    <w:rPr>
      <w:rFonts w:ascii="TimesNewRoman" w:eastAsia="Times New Roman" w:hAnsi="TimesNewRoman" w:cs="Times New Roman"/>
      <w:color w:val="548235"/>
      <w:sz w:val="20"/>
      <w:szCs w:val="20"/>
      <w:lang w:eastAsia="de-DE"/>
    </w:rPr>
  </w:style>
  <w:style w:type="paragraph" w:customStyle="1" w:styleId="xl68">
    <w:name w:val="xl68"/>
    <w:basedOn w:val="Standard"/>
    <w:rsid w:val="00A21C90"/>
    <w:pPr>
      <w:spacing w:before="100" w:beforeAutospacing="1" w:after="100" w:afterAutospacing="1"/>
    </w:pPr>
    <w:rPr>
      <w:rFonts w:ascii="Times New Roman" w:eastAsia="Times New Roman" w:hAnsi="Times New Roman" w:cs="Times New Roman"/>
      <w:color w:val="FF0000"/>
      <w:lang w:eastAsia="de-DE"/>
    </w:rPr>
  </w:style>
  <w:style w:type="paragraph" w:customStyle="1" w:styleId="xl69">
    <w:name w:val="xl69"/>
    <w:basedOn w:val="Standard"/>
    <w:rsid w:val="00A21C90"/>
    <w:pPr>
      <w:spacing w:before="100" w:beforeAutospacing="1" w:after="100" w:afterAutospacing="1"/>
    </w:pPr>
    <w:rPr>
      <w:rFonts w:ascii="Times New Roman" w:eastAsia="Times New Roman" w:hAnsi="Times New Roman" w:cs="Times New Roman"/>
      <w:color w:val="FF0000"/>
      <w:lang w:eastAsia="de-DE"/>
    </w:rPr>
  </w:style>
  <w:style w:type="paragraph" w:customStyle="1" w:styleId="xl70">
    <w:name w:val="xl70"/>
    <w:basedOn w:val="Standard"/>
    <w:rsid w:val="00A21C90"/>
    <w:pPr>
      <w:spacing w:before="100" w:beforeAutospacing="1" w:after="100" w:afterAutospacing="1"/>
    </w:pPr>
    <w:rPr>
      <w:rFonts w:ascii="Times New Roman" w:eastAsia="Times New Roman" w:hAnsi="Times New Roman" w:cs="Times New Roman"/>
      <w:b/>
      <w:bCs/>
      <w:lang w:eastAsia="de-DE"/>
    </w:rPr>
  </w:style>
  <w:style w:type="paragraph" w:customStyle="1" w:styleId="xl71">
    <w:name w:val="xl71"/>
    <w:basedOn w:val="Standard"/>
    <w:rsid w:val="00A21C90"/>
    <w:pPr>
      <w:spacing w:before="100" w:beforeAutospacing="1" w:after="100" w:afterAutospacing="1"/>
    </w:pPr>
    <w:rPr>
      <w:rFonts w:ascii="Times New Roman" w:eastAsia="Times New Roman" w:hAnsi="Times New Roman" w:cs="Times New Roman"/>
      <w:color w:val="000000"/>
      <w:lang w:eastAsia="de-DE"/>
    </w:rPr>
  </w:style>
  <w:style w:type="paragraph" w:customStyle="1" w:styleId="xl72">
    <w:name w:val="xl72"/>
    <w:basedOn w:val="Standard"/>
    <w:rsid w:val="00A21C90"/>
    <w:pPr>
      <w:spacing w:before="100" w:beforeAutospacing="1" w:after="100" w:afterAutospacing="1"/>
    </w:pPr>
    <w:rPr>
      <w:rFonts w:ascii="Times New Roman" w:eastAsia="Times New Roman" w:hAnsi="Times New Roman" w:cs="Times New Roman"/>
      <w:color w:val="000000"/>
      <w:lang w:eastAsia="de-DE"/>
    </w:rPr>
  </w:style>
  <w:style w:type="paragraph" w:customStyle="1" w:styleId="xl73">
    <w:name w:val="xl73"/>
    <w:basedOn w:val="Standard"/>
    <w:rsid w:val="00A21C90"/>
    <w:pPr>
      <w:spacing w:before="100" w:beforeAutospacing="1" w:after="100" w:afterAutospacing="1"/>
    </w:pPr>
    <w:rPr>
      <w:rFonts w:ascii="Calibri" w:eastAsia="Times New Roman" w:hAnsi="Calibri" w:cs="Calibri"/>
      <w:lang w:eastAsia="de-DE"/>
    </w:rPr>
  </w:style>
  <w:style w:type="paragraph" w:customStyle="1" w:styleId="xl74">
    <w:name w:val="xl74"/>
    <w:basedOn w:val="Standard"/>
    <w:rsid w:val="00A21C90"/>
    <w:pPr>
      <w:spacing w:before="100" w:beforeAutospacing="1" w:after="100" w:afterAutospacing="1"/>
    </w:pPr>
    <w:rPr>
      <w:rFonts w:ascii="Times New Roman" w:eastAsia="Times New Roman" w:hAnsi="Times New Roman" w:cs="Times New Roman"/>
      <w:color w:val="C00000"/>
      <w:lang w:eastAsia="de-DE"/>
    </w:rPr>
  </w:style>
  <w:style w:type="paragraph" w:customStyle="1" w:styleId="xl75">
    <w:name w:val="xl75"/>
    <w:basedOn w:val="Standard"/>
    <w:rsid w:val="00A21C90"/>
    <w:pPr>
      <w:spacing w:before="100" w:beforeAutospacing="1" w:after="100" w:afterAutospacing="1"/>
    </w:pPr>
    <w:rPr>
      <w:rFonts w:ascii="Calibri" w:eastAsia="Times New Roman" w:hAnsi="Calibri" w:cs="Calibri"/>
      <w:color w:val="548235"/>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213183">
      <w:bodyDiv w:val="1"/>
      <w:marLeft w:val="0"/>
      <w:marRight w:val="0"/>
      <w:marTop w:val="0"/>
      <w:marBottom w:val="0"/>
      <w:divBdr>
        <w:top w:val="none" w:sz="0" w:space="0" w:color="auto"/>
        <w:left w:val="none" w:sz="0" w:space="0" w:color="auto"/>
        <w:bottom w:val="none" w:sz="0" w:space="0" w:color="auto"/>
        <w:right w:val="none" w:sz="0" w:space="0" w:color="auto"/>
      </w:divBdr>
    </w:div>
    <w:div w:id="827862975">
      <w:bodyDiv w:val="1"/>
      <w:marLeft w:val="0"/>
      <w:marRight w:val="0"/>
      <w:marTop w:val="0"/>
      <w:marBottom w:val="0"/>
      <w:divBdr>
        <w:top w:val="none" w:sz="0" w:space="0" w:color="auto"/>
        <w:left w:val="none" w:sz="0" w:space="0" w:color="auto"/>
        <w:bottom w:val="none" w:sz="0" w:space="0" w:color="auto"/>
        <w:right w:val="none" w:sz="0" w:space="0" w:color="auto"/>
      </w:divBdr>
    </w:div>
    <w:div w:id="1553955209">
      <w:bodyDiv w:val="1"/>
      <w:marLeft w:val="0"/>
      <w:marRight w:val="0"/>
      <w:marTop w:val="0"/>
      <w:marBottom w:val="0"/>
      <w:divBdr>
        <w:top w:val="none" w:sz="0" w:space="0" w:color="auto"/>
        <w:left w:val="none" w:sz="0" w:space="0" w:color="auto"/>
        <w:bottom w:val="none" w:sz="0" w:space="0" w:color="auto"/>
        <w:right w:val="none" w:sz="0" w:space="0" w:color="auto"/>
      </w:divBdr>
    </w:div>
    <w:div w:id="2021659826">
      <w:bodyDiv w:val="1"/>
      <w:marLeft w:val="0"/>
      <w:marRight w:val="0"/>
      <w:marTop w:val="0"/>
      <w:marBottom w:val="0"/>
      <w:divBdr>
        <w:top w:val="none" w:sz="0" w:space="0" w:color="auto"/>
        <w:left w:val="none" w:sz="0" w:space="0" w:color="auto"/>
        <w:bottom w:val="none" w:sz="0" w:space="0" w:color="auto"/>
        <w:right w:val="none" w:sz="0" w:space="0" w:color="auto"/>
      </w:divBdr>
    </w:div>
    <w:div w:id="211269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3517</Words>
  <Characters>22161</Characters>
  <Application>Microsoft Office Word</Application>
  <DocSecurity>0</DocSecurity>
  <Lines>184</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dcterms:created xsi:type="dcterms:W3CDTF">2021-08-04T10:09:00Z</dcterms:created>
  <dcterms:modified xsi:type="dcterms:W3CDTF">2021-08-04T10:34:00Z</dcterms:modified>
</cp:coreProperties>
</file>