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A0F76" w14:textId="677370F3" w:rsidR="007B0EEF" w:rsidRPr="007B0EEF" w:rsidRDefault="007B0EEF" w:rsidP="007B0EEF">
      <w:pPr>
        <w:spacing w:line="48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BB6203">
        <w:rPr>
          <w:rFonts w:ascii="Times New Roman" w:hAnsi="Times New Roman" w:cs="Times New Roman"/>
          <w:b/>
          <w:bCs/>
          <w:sz w:val="24"/>
          <w:szCs w:val="24"/>
        </w:rPr>
        <w:t>PLI Functional Connection</w:t>
      </w:r>
    </w:p>
    <w:p w14:paraId="0EF9449F" w14:textId="33A1467E" w:rsidR="007B0EEF" w:rsidRPr="007B0EEF" w:rsidRDefault="007B0EEF" w:rsidP="007B0EEF">
      <w:pPr>
        <w:spacing w:line="480" w:lineRule="auto"/>
        <w:ind w:firstLine="42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Based on</w:t>
      </w:r>
      <w:r w:rsidRPr="00BB6203">
        <w:rPr>
          <w:rFonts w:ascii="Times New Roman" w:hAnsi="Times New Roman" w:cs="Times New Roman"/>
          <w:sz w:val="24"/>
          <w:szCs w:val="24"/>
        </w:rPr>
        <w:t xml:space="preserve"> the result of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BB6203">
        <w:rPr>
          <w:rFonts w:ascii="Times New Roman" w:hAnsi="Times New Roman" w:cs="Times New Roman"/>
          <w:sz w:val="24"/>
          <w:szCs w:val="24"/>
        </w:rPr>
        <w:t xml:space="preserve"> average PLI,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B6203">
        <w:rPr>
          <w:rFonts w:ascii="Times New Roman" w:hAnsi="Times New Roman" w:cs="Times New Roman"/>
          <w:sz w:val="24"/>
          <w:szCs w:val="24"/>
        </w:rPr>
        <w:t xml:space="preserve"> PLI matrix of </w:t>
      </w:r>
      <w:r>
        <w:rPr>
          <w:rFonts w:ascii="Times New Roman" w:hAnsi="Times New Roman" w:cs="Times New Roman" w:hint="eastAsia"/>
          <w:sz w:val="24"/>
          <w:szCs w:val="24"/>
        </w:rPr>
        <w:t>theta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6203">
        <w:rPr>
          <w:rFonts w:ascii="Times New Roman" w:hAnsi="Times New Roman" w:cs="Times New Roman"/>
          <w:sz w:val="24"/>
          <w:szCs w:val="24"/>
        </w:rPr>
        <w:t xml:space="preserve">band within the 100-400ms </w:t>
      </w:r>
      <w:r>
        <w:rPr>
          <w:rFonts w:ascii="Times New Roman" w:hAnsi="Times New Roman" w:cs="Times New Roman"/>
          <w:sz w:val="24"/>
          <w:szCs w:val="24"/>
        </w:rPr>
        <w:t xml:space="preserve">was constructed </w:t>
      </w:r>
      <w:r w:rsidRPr="00BB6203">
        <w:rPr>
          <w:rFonts w:ascii="Times New Roman" w:hAnsi="Times New Roman" w:cs="Times New Roman"/>
          <w:sz w:val="24"/>
          <w:szCs w:val="24"/>
        </w:rPr>
        <w:t>for all conditions</w:t>
      </w:r>
      <w:r>
        <w:rPr>
          <w:rFonts w:ascii="Times New Roman" w:hAnsi="Times New Roman" w:cs="Times New Roman"/>
          <w:sz w:val="24"/>
          <w:szCs w:val="24"/>
        </w:rPr>
        <w:t>. An</w:t>
      </w:r>
      <w:r w:rsidRPr="00BB6203">
        <w:rPr>
          <w:rFonts w:ascii="Times New Roman" w:hAnsi="Times New Roman" w:cs="Times New Roman"/>
          <w:sz w:val="24"/>
          <w:szCs w:val="24"/>
        </w:rPr>
        <w:t xml:space="preserve"> intragroup comparison between standard and </w:t>
      </w:r>
      <w:r>
        <w:rPr>
          <w:rFonts w:ascii="Times New Roman" w:hAnsi="Times New Roman" w:cs="Times New Roman"/>
          <w:sz w:val="24"/>
          <w:szCs w:val="24"/>
        </w:rPr>
        <w:t>deviant</w:t>
      </w:r>
      <w:r w:rsidRPr="00BB6203">
        <w:rPr>
          <w:rFonts w:ascii="Times New Roman" w:hAnsi="Times New Roman" w:cs="Times New Roman"/>
          <w:sz w:val="24"/>
          <w:szCs w:val="24"/>
        </w:rPr>
        <w:t xml:space="preserve"> stimulus</w:t>
      </w:r>
      <w:r>
        <w:rPr>
          <w:rFonts w:ascii="Times New Roman" w:hAnsi="Times New Roman" w:cs="Times New Roman"/>
          <w:sz w:val="24"/>
          <w:szCs w:val="24"/>
        </w:rPr>
        <w:t xml:space="preserve"> was carried out</w:t>
      </w:r>
      <w:r w:rsidRPr="00BB6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B6203">
        <w:rPr>
          <w:rFonts w:ascii="Times New Roman" w:hAnsi="Times New Roman" w:cs="Times New Roman"/>
          <w:sz w:val="24"/>
          <w:szCs w:val="24"/>
        </w:rPr>
        <w:t>Figures A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BB6203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FC9F196" w14:textId="2DAADD51" w:rsidR="00782B3C" w:rsidRPr="00BB6203" w:rsidRDefault="00782B3C" w:rsidP="00782B3C">
      <w:pPr>
        <w:spacing w:line="480" w:lineRule="auto"/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Comparison between</w:t>
      </w:r>
      <w:r w:rsidRPr="00BB6203">
        <w:rPr>
          <w:rFonts w:ascii="Times New Roman" w:hAnsi="Times New Roman" w:cs="Times New Roman"/>
          <w:sz w:val="24"/>
          <w:szCs w:val="24"/>
        </w:rPr>
        <w:t xml:space="preserve"> electrode pairs</w:t>
      </w:r>
      <w:r>
        <w:rPr>
          <w:rFonts w:ascii="Times New Roman" w:hAnsi="Times New Roman" w:cs="Times New Roman"/>
          <w:sz w:val="24"/>
          <w:szCs w:val="24"/>
        </w:rPr>
        <w:t xml:space="preserve"> with</w:t>
      </w:r>
      <w:r w:rsidRPr="00BB6203">
        <w:rPr>
          <w:rFonts w:ascii="Times New Roman" w:hAnsi="Times New Roman" w:cs="Times New Roman"/>
          <w:sz w:val="24"/>
          <w:szCs w:val="24"/>
        </w:rPr>
        <w:t xml:space="preserve"> standard and devia</w:t>
      </w:r>
      <w:r>
        <w:rPr>
          <w:rFonts w:ascii="Times New Roman" w:hAnsi="Times New Roman" w:cs="Times New Roman"/>
          <w:sz w:val="24"/>
          <w:szCs w:val="24"/>
        </w:rPr>
        <w:t>nt</w:t>
      </w:r>
      <w:r w:rsidRPr="00BB6203">
        <w:rPr>
          <w:rFonts w:ascii="Times New Roman" w:hAnsi="Times New Roman" w:cs="Times New Roman"/>
          <w:sz w:val="24"/>
          <w:szCs w:val="24"/>
        </w:rPr>
        <w:t xml:space="preserve"> stimulus</w:t>
      </w:r>
      <w:r>
        <w:rPr>
          <w:rFonts w:ascii="Times New Roman" w:hAnsi="Times New Roman" w:cs="Times New Roman"/>
          <w:sz w:val="24"/>
          <w:szCs w:val="24"/>
        </w:rPr>
        <w:t xml:space="preserve"> differences were shown in Figure 6C. Analysis with t</w:t>
      </w:r>
      <w:r w:rsidRPr="00BB6203">
        <w:rPr>
          <w:rFonts w:ascii="Times New Roman" w:hAnsi="Times New Roman" w:cs="Times New Roman"/>
          <w:sz w:val="24"/>
          <w:szCs w:val="24"/>
        </w:rPr>
        <w:t xml:space="preserve">-tests with </w:t>
      </w:r>
      <w:r>
        <w:rPr>
          <w:rFonts w:ascii="Times New Roman" w:hAnsi="Times New Roman" w:cs="Times New Roman"/>
          <w:sz w:val="24"/>
          <w:szCs w:val="24"/>
        </w:rPr>
        <w:t>Family Wise Error (</w:t>
      </w:r>
      <w:r w:rsidRPr="00BB6203">
        <w:rPr>
          <w:rFonts w:ascii="Times New Roman" w:hAnsi="Times New Roman" w:cs="Times New Roman"/>
          <w:sz w:val="24"/>
          <w:szCs w:val="24"/>
        </w:rPr>
        <w:t>FWE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BB6203">
        <w:rPr>
          <w:rFonts w:ascii="Times New Roman" w:hAnsi="Times New Roman" w:cs="Times New Roman"/>
          <w:sz w:val="24"/>
          <w:szCs w:val="24"/>
        </w:rPr>
        <w:t xml:space="preserve">correction revealed significantly reduced PLI values </w:t>
      </w:r>
      <w:r>
        <w:rPr>
          <w:rFonts w:ascii="Times New Roman" w:hAnsi="Times New Roman" w:cs="Times New Roman"/>
          <w:sz w:val="24"/>
          <w:szCs w:val="24"/>
        </w:rPr>
        <w:t>from</w:t>
      </w:r>
      <w:r w:rsidRPr="00BB6203">
        <w:rPr>
          <w:rFonts w:ascii="Times New Roman" w:hAnsi="Times New Roman" w:cs="Times New Roman"/>
          <w:sz w:val="24"/>
          <w:szCs w:val="24"/>
        </w:rPr>
        <w:t xml:space="preserve"> the standard stimulus </w:t>
      </w:r>
      <w:r>
        <w:rPr>
          <w:rFonts w:ascii="Times New Roman" w:hAnsi="Times New Roman" w:cs="Times New Roman"/>
          <w:sz w:val="24"/>
          <w:szCs w:val="24"/>
        </w:rPr>
        <w:t>to the</w:t>
      </w:r>
      <w:r w:rsidRPr="00BB6203">
        <w:rPr>
          <w:rFonts w:ascii="Times New Roman" w:hAnsi="Times New Roman" w:cs="Times New Roman"/>
          <w:sz w:val="24"/>
          <w:szCs w:val="24"/>
        </w:rPr>
        <w:t xml:space="preserve"> devia</w:t>
      </w:r>
      <w:r>
        <w:rPr>
          <w:rFonts w:ascii="Times New Roman" w:hAnsi="Times New Roman" w:cs="Times New Roman"/>
          <w:sz w:val="24"/>
          <w:szCs w:val="24"/>
        </w:rPr>
        <w:t>nt in some electrode pairs</w:t>
      </w:r>
      <w:r w:rsidRPr="00BB6203">
        <w:rPr>
          <w:rFonts w:ascii="Times New Roman" w:hAnsi="Times New Roman" w:cs="Times New Roman"/>
          <w:sz w:val="24"/>
          <w:szCs w:val="24"/>
        </w:rPr>
        <w:t xml:space="preserve">. Specifically, </w:t>
      </w:r>
      <w:r>
        <w:rPr>
          <w:rFonts w:ascii="Times New Roman" w:hAnsi="Times New Roman" w:cs="Times New Roman"/>
          <w:sz w:val="24"/>
          <w:szCs w:val="24"/>
        </w:rPr>
        <w:t>results</w:t>
      </w:r>
      <w:r w:rsidRPr="00BB6203">
        <w:rPr>
          <w:rFonts w:ascii="Times New Roman" w:hAnsi="Times New Roman" w:cs="Times New Roman"/>
          <w:sz w:val="24"/>
          <w:szCs w:val="24"/>
        </w:rPr>
        <w:t xml:space="preserve"> from the MMN-L799 group showed significantly different electrode pairs in F5–F3, F5–C3, F5–</w:t>
      </w:r>
      <w:proofErr w:type="spellStart"/>
      <w:r w:rsidRPr="00BB6203">
        <w:rPr>
          <w:rFonts w:ascii="Times New Roman" w:hAnsi="Times New Roman" w:cs="Times New Roman"/>
          <w:sz w:val="24"/>
          <w:szCs w:val="24"/>
        </w:rPr>
        <w:t>FCz</w:t>
      </w:r>
      <w:proofErr w:type="spellEnd"/>
      <w:r w:rsidRPr="00BB6203">
        <w:rPr>
          <w:rFonts w:ascii="Times New Roman" w:hAnsi="Times New Roman" w:cs="Times New Roman"/>
          <w:sz w:val="24"/>
          <w:szCs w:val="24"/>
        </w:rPr>
        <w:t>, C1–F8, TP7–FC5, TP7–CP3, P7–FC5, P7–F1, PO7–PO5, P5–O2, P3–O2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6203">
        <w:rPr>
          <w:rFonts w:ascii="Times New Roman" w:hAnsi="Times New Roman" w:cs="Times New Roman"/>
          <w:sz w:val="24"/>
          <w:szCs w:val="24"/>
        </w:rPr>
        <w:t xml:space="preserve"> and P4–P6.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BB6203">
        <w:rPr>
          <w:rFonts w:ascii="Times New Roman" w:hAnsi="Times New Roman" w:cs="Times New Roman"/>
          <w:sz w:val="24"/>
          <w:szCs w:val="24"/>
        </w:rPr>
        <w:t xml:space="preserve">esults from the MMN-L450 group showed significantly different electrode pairs in TP7–C6, O1-C1, O1–CP4, O1-CP2, O2-FC1, </w:t>
      </w:r>
      <w:proofErr w:type="spellStart"/>
      <w:r w:rsidRPr="00BB6203">
        <w:rPr>
          <w:rFonts w:ascii="Times New Roman" w:hAnsi="Times New Roman" w:cs="Times New Roman"/>
          <w:sz w:val="24"/>
          <w:szCs w:val="24"/>
        </w:rPr>
        <w:t>Fz</w:t>
      </w:r>
      <w:proofErr w:type="spellEnd"/>
      <w:r w:rsidRPr="00BB6203">
        <w:rPr>
          <w:rFonts w:ascii="Times New Roman" w:hAnsi="Times New Roman" w:cs="Times New Roman"/>
          <w:sz w:val="24"/>
          <w:szCs w:val="24"/>
        </w:rPr>
        <w:t>–FC6, F6-FT8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6203">
        <w:rPr>
          <w:rFonts w:ascii="Times New Roman" w:hAnsi="Times New Roman" w:cs="Times New Roman"/>
          <w:sz w:val="24"/>
          <w:szCs w:val="24"/>
        </w:rPr>
        <w:t xml:space="preserve"> and F8-PFZ.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BB6203">
        <w:rPr>
          <w:rFonts w:ascii="Times New Roman" w:hAnsi="Times New Roman" w:cs="Times New Roman"/>
          <w:sz w:val="24"/>
          <w:szCs w:val="24"/>
        </w:rPr>
        <w:t xml:space="preserve">esults from the MMN-R450 group showed significantly different electrode pairs in TP7–C3, Oz-C1, </w:t>
      </w:r>
      <w:proofErr w:type="spellStart"/>
      <w:r w:rsidRPr="00BB6203">
        <w:rPr>
          <w:rFonts w:ascii="Times New Roman" w:hAnsi="Times New Roman" w:cs="Times New Roman"/>
          <w:sz w:val="24"/>
          <w:szCs w:val="24"/>
        </w:rPr>
        <w:t>CPz</w:t>
      </w:r>
      <w:proofErr w:type="spellEnd"/>
      <w:r w:rsidRPr="00BB6203">
        <w:rPr>
          <w:rFonts w:ascii="Times New Roman" w:hAnsi="Times New Roman" w:cs="Times New Roman"/>
          <w:sz w:val="24"/>
          <w:szCs w:val="24"/>
        </w:rPr>
        <w:t>–C1, O2-FC5, F2–P8, F4-P8, AF4–P8, AF3-AF4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6203">
        <w:rPr>
          <w:rFonts w:ascii="Times New Roman" w:hAnsi="Times New Roman" w:cs="Times New Roman"/>
          <w:sz w:val="24"/>
          <w:szCs w:val="24"/>
        </w:rPr>
        <w:t xml:space="preserve"> and F8-PT8. </w:t>
      </w:r>
      <w:r>
        <w:rPr>
          <w:rFonts w:ascii="Times New Roman" w:hAnsi="Times New Roman" w:cs="Times New Roman"/>
          <w:sz w:val="24"/>
          <w:szCs w:val="24"/>
        </w:rPr>
        <w:t xml:space="preserve">Lastly, results </w:t>
      </w:r>
      <w:r w:rsidRPr="00BB6203">
        <w:rPr>
          <w:rFonts w:ascii="Times New Roman" w:hAnsi="Times New Roman" w:cs="Times New Roman"/>
          <w:sz w:val="24"/>
          <w:szCs w:val="24"/>
        </w:rPr>
        <w:t xml:space="preserve">from the MMN-R450 group showed significantly different electrode pairs in CP1–C3, Cz-FC1, </w:t>
      </w:r>
      <w:proofErr w:type="spellStart"/>
      <w:r w:rsidRPr="00BB6203">
        <w:rPr>
          <w:rFonts w:ascii="Times New Roman" w:hAnsi="Times New Roman" w:cs="Times New Roman"/>
          <w:sz w:val="24"/>
          <w:szCs w:val="24"/>
        </w:rPr>
        <w:t>Cz</w:t>
      </w:r>
      <w:proofErr w:type="spellEnd"/>
      <w:r w:rsidRPr="00BB6203">
        <w:rPr>
          <w:rFonts w:ascii="Times New Roman" w:hAnsi="Times New Roman" w:cs="Times New Roman"/>
          <w:sz w:val="24"/>
          <w:szCs w:val="24"/>
        </w:rPr>
        <w:t>–F1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B6203">
        <w:rPr>
          <w:rFonts w:ascii="Times New Roman" w:hAnsi="Times New Roman" w:cs="Times New Roman"/>
          <w:sz w:val="24"/>
          <w:szCs w:val="24"/>
        </w:rPr>
        <w:t xml:space="preserve"> and O2-FP2.</w:t>
      </w:r>
    </w:p>
    <w:p w14:paraId="3145EF6B" w14:textId="7B081D09" w:rsidR="00782B3C" w:rsidRPr="00BB6203" w:rsidRDefault="00782B3C" w:rsidP="00782B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C020E5B" wp14:editId="3C3098D9">
            <wp:extent cx="4961614" cy="34335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970" cy="344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1DCED" w14:textId="2F649A32" w:rsidR="00782B3C" w:rsidRPr="006E5D7B" w:rsidRDefault="00782B3C" w:rsidP="00782B3C">
      <w:pPr>
        <w:rPr>
          <w:rFonts w:ascii="Times New Roman" w:hAnsi="Times New Roman" w:cs="Times New Roman"/>
          <w:szCs w:val="21"/>
        </w:rPr>
      </w:pPr>
      <w:r w:rsidRPr="00BB6203">
        <w:rPr>
          <w:rFonts w:ascii="Times New Roman" w:hAnsi="Times New Roman" w:cs="Times New Roman"/>
          <w:b/>
          <w:bCs/>
          <w:sz w:val="24"/>
          <w:szCs w:val="24"/>
        </w:rPr>
        <w:t xml:space="preserve">Figure. </w:t>
      </w:r>
      <w:r w:rsidRPr="00F16492">
        <w:rPr>
          <w:rFonts w:ascii="Times New Roman" w:hAnsi="Times New Roman" w:cs="Times New Roman"/>
          <w:szCs w:val="21"/>
        </w:rPr>
        <w:t>Theta-band functional connection analysis of the MMN to standard and deviant stimuli</w:t>
      </w:r>
      <w:r w:rsidRPr="002328DB">
        <w:rPr>
          <w:rFonts w:ascii="Times New Roman" w:hAnsi="Times New Roman" w:cs="Times New Roman"/>
          <w:szCs w:val="21"/>
        </w:rPr>
        <w:t>. Panel A presents the matrix of phase lag index (PLI) for 60 electrode pairs with the standard stimulus. Panel B presents the matrix of PLI with the deviant stimulus. Color scales represent PLI values. Panel C present</w:t>
      </w:r>
      <w:bookmarkStart w:id="0" w:name="_Hlk84938623"/>
      <w:r w:rsidRPr="002328DB">
        <w:rPr>
          <w:rFonts w:ascii="Times New Roman" w:hAnsi="Times New Roman" w:cs="Times New Roman"/>
          <w:szCs w:val="21"/>
        </w:rPr>
        <w:t>s connections between</w:t>
      </w:r>
      <w:bookmarkEnd w:id="0"/>
      <w:r w:rsidRPr="002328DB">
        <w:rPr>
          <w:rFonts w:ascii="Times New Roman" w:hAnsi="Times New Roman" w:cs="Times New Roman"/>
          <w:szCs w:val="21"/>
        </w:rPr>
        <w:t xml:space="preserve"> the standard and deviant stimulus in each group and the t-scores adjusted for F</w:t>
      </w:r>
      <w:r>
        <w:rPr>
          <w:rFonts w:ascii="Times New Roman" w:hAnsi="Times New Roman" w:cs="Times New Roman"/>
          <w:szCs w:val="21"/>
        </w:rPr>
        <w:t>WE</w:t>
      </w:r>
      <w:r w:rsidRPr="002328DB">
        <w:rPr>
          <w:rFonts w:ascii="Times New Roman" w:hAnsi="Times New Roman" w:cs="Times New Roman"/>
          <w:szCs w:val="21"/>
        </w:rPr>
        <w:t>. Blue lines indicate electrode pairs with a statistically significant difference (p &lt; 0.05). Color scale represents the T values.</w:t>
      </w:r>
    </w:p>
    <w:p w14:paraId="740ECD1F" w14:textId="68DD7B85" w:rsidR="00CB4C43" w:rsidRDefault="00CB4C43"/>
    <w:sectPr w:rsidR="00CB4C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B7253" w14:textId="77777777" w:rsidR="007535BE" w:rsidRDefault="007535BE" w:rsidP="00782B3C">
      <w:r>
        <w:separator/>
      </w:r>
    </w:p>
  </w:endnote>
  <w:endnote w:type="continuationSeparator" w:id="0">
    <w:p w14:paraId="286C0914" w14:textId="77777777" w:rsidR="007535BE" w:rsidRDefault="007535BE" w:rsidP="00782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0A2CE" w14:textId="77777777" w:rsidR="007535BE" w:rsidRDefault="007535BE" w:rsidP="00782B3C">
      <w:r>
        <w:separator/>
      </w:r>
    </w:p>
  </w:footnote>
  <w:footnote w:type="continuationSeparator" w:id="0">
    <w:p w14:paraId="4B19907B" w14:textId="77777777" w:rsidR="007535BE" w:rsidRDefault="007535BE" w:rsidP="00782B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F0A9C"/>
    <w:rsid w:val="004D6367"/>
    <w:rsid w:val="007535BE"/>
    <w:rsid w:val="00782B3C"/>
    <w:rsid w:val="007B0EEF"/>
    <w:rsid w:val="00A9668D"/>
    <w:rsid w:val="00CB4C43"/>
    <w:rsid w:val="00DF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17621"/>
  <w15:chartTrackingRefBased/>
  <w15:docId w15:val="{6AC8F291-1463-49FF-A47D-BF8E0443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B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2B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2B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2B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2B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3</cp:revision>
  <dcterms:created xsi:type="dcterms:W3CDTF">2022-01-22T12:31:00Z</dcterms:created>
  <dcterms:modified xsi:type="dcterms:W3CDTF">2022-01-26T02:46:00Z</dcterms:modified>
</cp:coreProperties>
</file>