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84C42" w14:textId="447B353A" w:rsidR="00407BED" w:rsidRPr="00F94A1E" w:rsidRDefault="00407BED" w:rsidP="00F94A1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F94A1E">
        <w:rPr>
          <w:rFonts w:ascii="Times New Roman" w:hAnsi="Times New Roman" w:cs="Times New Roman"/>
          <w:b/>
          <w:sz w:val="20"/>
          <w:lang w:val="en-US"/>
        </w:rPr>
        <w:t>Table S1.</w:t>
      </w:r>
      <w:r w:rsidRPr="00F94A1E">
        <w:rPr>
          <w:rFonts w:ascii="Times New Roman" w:hAnsi="Times New Roman" w:cs="Times New Roman"/>
          <w:sz w:val="20"/>
          <w:lang w:val="en-US"/>
        </w:rPr>
        <w:t xml:space="preserve"> </w:t>
      </w:r>
      <w:r w:rsidRPr="00F94A1E">
        <w:rPr>
          <w:rFonts w:ascii="Times New Roman" w:hAnsi="Times New Roman" w:cs="Times New Roman"/>
          <w:bCs/>
          <w:sz w:val="20"/>
          <w:lang w:val="en-US"/>
        </w:rPr>
        <w:t xml:space="preserve">Incineration rates of </w:t>
      </w:r>
      <w:r w:rsidR="001D66D6" w:rsidRPr="00F94A1E">
        <w:rPr>
          <w:rFonts w:ascii="Times New Roman" w:hAnsi="Times New Roman" w:cs="Times New Roman"/>
          <w:bCs/>
          <w:sz w:val="20"/>
          <w:lang w:val="en-US"/>
        </w:rPr>
        <w:t xml:space="preserve">virgin </w:t>
      </w:r>
      <w:r w:rsidRPr="00F94A1E">
        <w:rPr>
          <w:rFonts w:ascii="Times New Roman" w:hAnsi="Times New Roman" w:cs="Times New Roman"/>
          <w:bCs/>
          <w:sz w:val="20"/>
          <w:lang w:val="en-US"/>
        </w:rPr>
        <w:t xml:space="preserve">plastics after pyrolysis at the different </w:t>
      </w:r>
      <w:r w:rsidRPr="00F94A1E">
        <w:rPr>
          <w:rFonts w:ascii="Times New Roman" w:hAnsi="Times New Roman" w:cs="Times New Roman"/>
          <w:sz w:val="20"/>
          <w:lang w:val="en-US"/>
        </w:rPr>
        <w:t>temperatures</w:t>
      </w:r>
      <w:r w:rsidRPr="00F94A1E">
        <w:rPr>
          <w:rFonts w:ascii="Century" w:hAnsi="Century" w:cs="Times New Roman"/>
          <w:sz w:val="20"/>
          <w:vertAlign w:val="superscript"/>
          <w:lang w:val="en-US"/>
        </w:rPr>
        <w:t>¶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2185"/>
        <w:gridCol w:w="2088"/>
        <w:gridCol w:w="2089"/>
      </w:tblGrid>
      <w:tr w:rsidR="00407BED" w:rsidRPr="00E70124" w14:paraId="3527FD64" w14:textId="77777777" w:rsidTr="0065231A">
        <w:tc>
          <w:tcPr>
            <w:tcW w:w="2142" w:type="dxa"/>
            <w:tcBorders>
              <w:top w:val="single" w:sz="4" w:space="0" w:color="auto"/>
            </w:tcBorders>
            <w:vAlign w:val="center"/>
          </w:tcPr>
          <w:p w14:paraId="69824655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bookmarkStart w:id="0" w:name="_GoBack"/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11A39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Incineration rate, %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7D367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5CFF7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</w:tr>
      <w:tr w:rsidR="00407BED" w:rsidRPr="00E70124" w14:paraId="6179E266" w14:textId="77777777" w:rsidTr="0065231A">
        <w:tc>
          <w:tcPr>
            <w:tcW w:w="2142" w:type="dxa"/>
            <w:vAlign w:val="center"/>
          </w:tcPr>
          <w:p w14:paraId="5A30BAD2" w14:textId="39D04659" w:rsidR="00407BED" w:rsidRPr="00E70124" w:rsidRDefault="00F94A1E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Type of plastics</w:t>
            </w: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BEDCC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Pyrolysis temperature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E66FB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163AF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</w:tr>
      <w:tr w:rsidR="00407BED" w:rsidRPr="00E70124" w14:paraId="33B9E119" w14:textId="77777777" w:rsidTr="0065231A">
        <w:trPr>
          <w:trHeight w:val="454"/>
        </w:trPr>
        <w:tc>
          <w:tcPr>
            <w:tcW w:w="2142" w:type="dxa"/>
            <w:tcBorders>
              <w:bottom w:val="single" w:sz="4" w:space="0" w:color="auto"/>
            </w:tcBorders>
            <w:vAlign w:val="center"/>
          </w:tcPr>
          <w:p w14:paraId="1BEF5B3E" w14:textId="52B9B7E2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C1A7C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500 </w:t>
            </w:r>
            <w:proofErr w:type="spellStart"/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vertAlign w:val="superscript"/>
                <w:lang w:val="en-US"/>
              </w:rPr>
              <w:t>o</w:t>
            </w: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0F365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600 </w:t>
            </w:r>
            <w:proofErr w:type="spellStart"/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vertAlign w:val="superscript"/>
                <w:lang w:val="en-US"/>
              </w:rPr>
              <w:t>o</w:t>
            </w: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63631" w14:textId="77777777" w:rsidR="00407BED" w:rsidRPr="00E70124" w:rsidRDefault="00407BED" w:rsidP="00F94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700 </w:t>
            </w:r>
            <w:proofErr w:type="spellStart"/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vertAlign w:val="superscript"/>
                <w:lang w:val="en-US"/>
              </w:rPr>
              <w:t>o</w:t>
            </w:r>
            <w:r w:rsidRPr="00E70124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</w:t>
            </w:r>
            <w:proofErr w:type="spellEnd"/>
          </w:p>
        </w:tc>
      </w:tr>
      <w:tr w:rsidR="00407BED" w:rsidRPr="00E70124" w14:paraId="3BF558D1" w14:textId="77777777" w:rsidTr="00407BED">
        <w:tc>
          <w:tcPr>
            <w:tcW w:w="2142" w:type="dxa"/>
            <w:tcBorders>
              <w:top w:val="single" w:sz="4" w:space="0" w:color="auto"/>
            </w:tcBorders>
          </w:tcPr>
          <w:p w14:paraId="7CFD5A1D" w14:textId="77777777" w:rsidR="00407BED" w:rsidRPr="00E70124" w:rsidRDefault="00407BED" w:rsidP="00F94A1E">
            <w:pPr>
              <w:spacing w:after="0"/>
              <w:ind w:firstLineChars="100" w:firstLine="18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0"/>
              </w:rPr>
              <w:t>LDPE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1E77092B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99.8 ± 0.1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57A76932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99.4 ± 0.1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4C7B944E" w14:textId="47D421C1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100. 0</w:t>
            </w:r>
            <w:r w:rsidR="00D9308B"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 xml:space="preserve"> </w:t>
            </w: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± 0.0</w:t>
            </w:r>
          </w:p>
        </w:tc>
      </w:tr>
      <w:tr w:rsidR="00407BED" w:rsidRPr="00E70124" w14:paraId="3D2D7D61" w14:textId="77777777" w:rsidTr="00407BED">
        <w:tc>
          <w:tcPr>
            <w:tcW w:w="2142" w:type="dxa"/>
          </w:tcPr>
          <w:p w14:paraId="4E5D13A8" w14:textId="77777777" w:rsidR="00407BED" w:rsidRPr="00E70124" w:rsidRDefault="00407BED" w:rsidP="00F94A1E">
            <w:pPr>
              <w:spacing w:after="0"/>
              <w:ind w:firstLineChars="100" w:firstLine="18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PP</w:t>
            </w:r>
          </w:p>
        </w:tc>
        <w:tc>
          <w:tcPr>
            <w:tcW w:w="2185" w:type="dxa"/>
          </w:tcPr>
          <w:p w14:paraId="63C7E3AE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98.3 ± 0.2</w:t>
            </w:r>
          </w:p>
        </w:tc>
        <w:tc>
          <w:tcPr>
            <w:tcW w:w="2088" w:type="dxa"/>
          </w:tcPr>
          <w:p w14:paraId="06766747" w14:textId="7C70C9A2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98.6 ± 0.0</w:t>
            </w:r>
          </w:p>
        </w:tc>
        <w:tc>
          <w:tcPr>
            <w:tcW w:w="2089" w:type="dxa"/>
          </w:tcPr>
          <w:p w14:paraId="0764B2D6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98.3 ± 0.2</w:t>
            </w:r>
          </w:p>
        </w:tc>
      </w:tr>
      <w:tr w:rsidR="00407BED" w:rsidRPr="00E70124" w14:paraId="21A8712B" w14:textId="77777777" w:rsidTr="00407BED">
        <w:tc>
          <w:tcPr>
            <w:tcW w:w="2142" w:type="dxa"/>
            <w:tcBorders>
              <w:bottom w:val="single" w:sz="4" w:space="0" w:color="auto"/>
            </w:tcBorders>
          </w:tcPr>
          <w:p w14:paraId="152FD093" w14:textId="77777777" w:rsidR="00407BED" w:rsidRPr="00E70124" w:rsidRDefault="00407BED" w:rsidP="00F94A1E">
            <w:pPr>
              <w:spacing w:after="0"/>
              <w:ind w:firstLineChars="100" w:firstLine="18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PVC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6661652D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72.8 ± 0.2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41735E04" w14:textId="7B3C3893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74.0</w:t>
            </w: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  <w:lang w:val="en-US"/>
              </w:rPr>
              <w:t>#</w:t>
            </w: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 xml:space="preserve"> ± 0.4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01EAA429" w14:textId="77777777" w:rsidR="00407BED" w:rsidRPr="00E70124" w:rsidRDefault="00407BED" w:rsidP="00F94A1E">
            <w:pPr>
              <w:spacing w:after="0"/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</w:pPr>
            <w:r w:rsidRPr="00E70124">
              <w:rPr>
                <w:rFonts w:ascii="Times New Roman" w:hAnsi="Times New Roman" w:cs="Times New Roman"/>
                <w:bCs/>
                <w:sz w:val="18"/>
                <w:szCs w:val="20"/>
                <w:lang w:val="en-US"/>
              </w:rPr>
              <w:t>74.3 ± 0.0</w:t>
            </w:r>
          </w:p>
        </w:tc>
      </w:tr>
    </w:tbl>
    <w:bookmarkEnd w:id="0"/>
    <w:p w14:paraId="65EFF48F" w14:textId="77777777" w:rsidR="00407BED" w:rsidRPr="00F94A1E" w:rsidRDefault="00407BED" w:rsidP="0065231A">
      <w:pPr>
        <w:spacing w:after="0" w:line="240" w:lineRule="auto"/>
        <w:rPr>
          <w:rFonts w:ascii="Times New Roman" w:hAnsi="Times New Roman" w:cs="Times New Roman"/>
          <w:bCs/>
          <w:sz w:val="20"/>
          <w:lang w:val="en-US"/>
        </w:rPr>
      </w:pPr>
      <w:r w:rsidRPr="00F94A1E">
        <w:rPr>
          <w:rFonts w:ascii="Times New Roman" w:hAnsi="Times New Roman" w:cs="Times New Roman"/>
          <w:bCs/>
          <w:sz w:val="20"/>
          <w:lang w:val="en-US"/>
        </w:rPr>
        <w:t>LDPE: Low density polyethylene, PP: Polypropylene, and PVC: Polyvinyl chloride</w:t>
      </w:r>
    </w:p>
    <w:p w14:paraId="6B2B0370" w14:textId="3E1F0FFD" w:rsidR="00407BED" w:rsidRPr="00F94A1E" w:rsidRDefault="00407BED" w:rsidP="0065231A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F94A1E">
        <w:rPr>
          <w:rFonts w:ascii="Times New Roman" w:hAnsi="Times New Roman" w:cs="Times New Roman"/>
          <w:sz w:val="20"/>
          <w:vertAlign w:val="superscript"/>
          <w:lang w:val="en-US"/>
        </w:rPr>
        <w:t xml:space="preserve">¶ </w:t>
      </w:r>
      <w:r w:rsidRPr="00F94A1E">
        <w:rPr>
          <w:rFonts w:ascii="Times New Roman" w:hAnsi="Times New Roman" w:cs="Times New Roman"/>
          <w:sz w:val="20"/>
          <w:lang w:val="en-US"/>
        </w:rPr>
        <w:t xml:space="preserve">Average </w:t>
      </w:r>
      <w:r w:rsidRPr="00F94A1E">
        <w:rPr>
          <w:rFonts w:ascii="Times New Roman" w:hAnsi="Times New Roman" w:cs="Times New Roman"/>
          <w:bCs/>
          <w:sz w:val="20"/>
          <w:lang w:val="en-US"/>
        </w:rPr>
        <w:t>± S.E. (n=3)</w:t>
      </w:r>
    </w:p>
    <w:p w14:paraId="560A41E8" w14:textId="2EEBFF7D" w:rsidR="00407BED" w:rsidRPr="00F94A1E" w:rsidRDefault="00407BED" w:rsidP="0065231A">
      <w:pPr>
        <w:spacing w:after="0" w:line="240" w:lineRule="auto"/>
        <w:rPr>
          <w:rFonts w:ascii="Times New Roman" w:hAnsi="Times New Roman" w:cs="Times New Roman"/>
          <w:bCs/>
          <w:sz w:val="20"/>
          <w:lang w:val="en-US"/>
        </w:rPr>
      </w:pPr>
      <w:r w:rsidRPr="00F94A1E">
        <w:rPr>
          <w:rFonts w:ascii="Times New Roman" w:hAnsi="Times New Roman" w:cs="Times New Roman"/>
          <w:bCs/>
          <w:sz w:val="20"/>
          <w:vertAlign w:val="superscript"/>
          <w:lang w:val="en-US"/>
        </w:rPr>
        <w:t>#</w:t>
      </w:r>
      <w:r w:rsidRPr="00F94A1E">
        <w:rPr>
          <w:rFonts w:ascii="Times New Roman" w:hAnsi="Times New Roman" w:cs="Times New Roman"/>
          <w:bCs/>
          <w:sz w:val="20"/>
          <w:lang w:val="en-US"/>
        </w:rPr>
        <w:t xml:space="preserve"> This value is used as </w:t>
      </w:r>
      <w:r w:rsidR="00DB5946" w:rsidRPr="00F94A1E">
        <w:rPr>
          <w:rFonts w:ascii="Times New Roman" w:hAnsi="Times New Roman" w:cs="Times New Roman"/>
          <w:bCs/>
          <w:sz w:val="20"/>
          <w:lang w:val="en-US"/>
        </w:rPr>
        <w:t>R</w:t>
      </w:r>
      <w:r w:rsidRPr="00F94A1E">
        <w:rPr>
          <w:rFonts w:ascii="Times New Roman" w:hAnsi="Times New Roman" w:cs="Times New Roman"/>
          <w:bCs/>
          <w:sz w:val="20"/>
          <w:vertAlign w:val="subscript"/>
          <w:lang w:val="en-US"/>
        </w:rPr>
        <w:t>PVC</w:t>
      </w:r>
      <w:r w:rsidRPr="00F94A1E">
        <w:rPr>
          <w:rFonts w:ascii="Times New Roman" w:hAnsi="Times New Roman" w:cs="Times New Roman"/>
          <w:bCs/>
          <w:sz w:val="20"/>
          <w:lang w:val="en-US"/>
        </w:rPr>
        <w:t xml:space="preserve"> in calculations of</w:t>
      </w:r>
      <w:r w:rsidR="00DB5946" w:rsidRPr="00F94A1E">
        <w:rPr>
          <w:rFonts w:ascii="Times New Roman" w:hAnsi="Times New Roman" w:cs="Times New Roman"/>
          <w:bCs/>
          <w:sz w:val="20"/>
          <w:lang w:val="en-US"/>
        </w:rPr>
        <w:t xml:space="preserve"> the</w:t>
      </w:r>
      <w:r w:rsidRPr="00F94A1E">
        <w:rPr>
          <w:rFonts w:ascii="Times New Roman" w:hAnsi="Times New Roman" w:cs="Times New Roman"/>
          <w:bCs/>
          <w:sz w:val="20"/>
          <w:lang w:val="en-US"/>
        </w:rPr>
        <w:t xml:space="preserve"> recovery rate for PVC particles. </w:t>
      </w:r>
    </w:p>
    <w:p w14:paraId="12A14D66" w14:textId="77777777" w:rsidR="00EB255C" w:rsidRPr="00F94A1E" w:rsidRDefault="00EB255C" w:rsidP="00EB255C">
      <w:pPr>
        <w:spacing w:after="0" w:line="360" w:lineRule="auto"/>
        <w:rPr>
          <w:rFonts w:ascii="Times New Roman" w:hAnsi="Times New Roman" w:cs="Times New Roman"/>
          <w:sz w:val="20"/>
          <w:lang w:val="en-US"/>
        </w:rPr>
      </w:pPr>
    </w:p>
    <w:sectPr w:rsidR="00EB255C" w:rsidRPr="00F94A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1F75B" w14:textId="77777777" w:rsidR="00C86EC8" w:rsidRDefault="00C86EC8" w:rsidP="00D9308B">
      <w:pPr>
        <w:spacing w:after="0" w:line="240" w:lineRule="auto"/>
      </w:pPr>
      <w:r>
        <w:separator/>
      </w:r>
    </w:p>
  </w:endnote>
  <w:endnote w:type="continuationSeparator" w:id="0">
    <w:p w14:paraId="4FD768BC" w14:textId="77777777" w:rsidR="00C86EC8" w:rsidRDefault="00C86EC8" w:rsidP="00D9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A6F49" w14:textId="77777777" w:rsidR="00C86EC8" w:rsidRDefault="00C86EC8" w:rsidP="00D9308B">
      <w:pPr>
        <w:spacing w:after="0" w:line="240" w:lineRule="auto"/>
      </w:pPr>
      <w:r>
        <w:separator/>
      </w:r>
    </w:p>
  </w:footnote>
  <w:footnote w:type="continuationSeparator" w:id="0">
    <w:p w14:paraId="6FF772D6" w14:textId="77777777" w:rsidR="00C86EC8" w:rsidRDefault="00C86EC8" w:rsidP="00D93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ED"/>
    <w:rsid w:val="000256D6"/>
    <w:rsid w:val="001B2426"/>
    <w:rsid w:val="001D66D6"/>
    <w:rsid w:val="00407BED"/>
    <w:rsid w:val="00420216"/>
    <w:rsid w:val="0065231A"/>
    <w:rsid w:val="0071405D"/>
    <w:rsid w:val="007E70D9"/>
    <w:rsid w:val="00A84127"/>
    <w:rsid w:val="00C53845"/>
    <w:rsid w:val="00C86EC8"/>
    <w:rsid w:val="00D33C63"/>
    <w:rsid w:val="00D9308B"/>
    <w:rsid w:val="00DB5946"/>
    <w:rsid w:val="00E70124"/>
    <w:rsid w:val="00EB255C"/>
    <w:rsid w:val="00F9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7FD1C5EB"/>
  <w15:chartTrackingRefBased/>
  <w15:docId w15:val="{2E17951A-12A0-4DDD-A8C8-CE3A0FA0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7BED"/>
    <w:pPr>
      <w:spacing w:after="160" w:line="259" w:lineRule="auto"/>
    </w:pPr>
    <w:rPr>
      <w:kern w:val="0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BED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08B"/>
    <w:pPr>
      <w:tabs>
        <w:tab w:val="center" w:pos="4252"/>
        <w:tab w:val="right" w:pos="8504"/>
      </w:tabs>
      <w:snapToGrid w:val="0"/>
    </w:pPr>
  </w:style>
  <w:style w:type="character" w:customStyle="1" w:styleId="a5">
    <w:name w:val="Верхний колонтитул Знак"/>
    <w:basedOn w:val="a0"/>
    <w:link w:val="a4"/>
    <w:uiPriority w:val="99"/>
    <w:rsid w:val="00D9308B"/>
    <w:rPr>
      <w:kern w:val="0"/>
      <w:sz w:val="22"/>
      <w:lang w:val="ru-RU"/>
    </w:rPr>
  </w:style>
  <w:style w:type="paragraph" w:styleId="a6">
    <w:name w:val="footer"/>
    <w:basedOn w:val="a"/>
    <w:link w:val="a7"/>
    <w:uiPriority w:val="99"/>
    <w:unhideWhenUsed/>
    <w:rsid w:val="00D9308B"/>
    <w:pPr>
      <w:tabs>
        <w:tab w:val="center" w:pos="4252"/>
        <w:tab w:val="right" w:pos="8504"/>
      </w:tabs>
      <w:snapToGrid w:val="0"/>
    </w:pPr>
  </w:style>
  <w:style w:type="character" w:customStyle="1" w:styleId="a7">
    <w:name w:val="Нижний колонтитул Знак"/>
    <w:basedOn w:val="a0"/>
    <w:link w:val="a6"/>
    <w:uiPriority w:val="99"/>
    <w:rsid w:val="00D9308B"/>
    <w:rPr>
      <w:kern w:val="0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f19m501b</cp:lastModifiedBy>
  <cp:revision>9</cp:revision>
  <dcterms:created xsi:type="dcterms:W3CDTF">2022-01-22T23:56:00Z</dcterms:created>
  <dcterms:modified xsi:type="dcterms:W3CDTF">2022-04-04T12:03:00Z</dcterms:modified>
</cp:coreProperties>
</file>