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B271B1" w14:textId="77777777" w:rsidR="00412D2A" w:rsidRPr="00815814" w:rsidRDefault="00412D2A" w:rsidP="00412D2A">
      <w:pPr>
        <w:spacing w:line="360" w:lineRule="auto"/>
        <w:ind w:leftChars="-342" w:left="-718" w:rightChars="-330" w:right="-693"/>
        <w:rPr>
          <w:b/>
          <w:bCs/>
          <w:iCs/>
          <w:sz w:val="32"/>
          <w:szCs w:val="32"/>
        </w:rPr>
      </w:pPr>
      <w:r w:rsidRPr="00815814">
        <w:rPr>
          <w:b/>
          <w:bCs/>
          <w:iCs/>
          <w:sz w:val="32"/>
          <w:szCs w:val="32"/>
        </w:rPr>
        <w:t>Supporting Information</w:t>
      </w:r>
    </w:p>
    <w:p w14:paraId="4CBA9337" w14:textId="77777777" w:rsidR="00D14EBE" w:rsidRPr="00815814" w:rsidRDefault="00D14EBE" w:rsidP="00D14EBE">
      <w:pPr>
        <w:spacing w:line="360" w:lineRule="auto"/>
        <w:ind w:leftChars="-342" w:left="-718" w:rightChars="-330" w:right="-693"/>
        <w:rPr>
          <w:sz w:val="22"/>
          <w:szCs w:val="22"/>
        </w:rPr>
      </w:pPr>
      <w:r w:rsidRPr="00815814">
        <w:rPr>
          <w:b/>
          <w:sz w:val="22"/>
          <w:szCs w:val="22"/>
        </w:rPr>
        <w:t>Figure S1.</w:t>
      </w:r>
      <w:r w:rsidRPr="00815814">
        <w:rPr>
          <w:sz w:val="22"/>
          <w:szCs w:val="22"/>
        </w:rPr>
        <w:t xml:space="preserve"> Overall design of this study.</w:t>
      </w:r>
    </w:p>
    <w:p w14:paraId="2CAE8A0F" w14:textId="77777777" w:rsidR="00D14EBE" w:rsidRPr="00815814" w:rsidRDefault="00D14EBE" w:rsidP="00D14EBE">
      <w:pPr>
        <w:spacing w:line="360" w:lineRule="auto"/>
        <w:ind w:leftChars="-342" w:left="-718" w:rightChars="-330" w:right="-693"/>
        <w:rPr>
          <w:sz w:val="22"/>
          <w:szCs w:val="22"/>
        </w:rPr>
      </w:pPr>
      <w:r w:rsidRPr="00815814">
        <w:rPr>
          <w:b/>
          <w:sz w:val="22"/>
          <w:szCs w:val="22"/>
        </w:rPr>
        <w:t>Figure S2.</w:t>
      </w:r>
      <w:r w:rsidRPr="00815814">
        <w:rPr>
          <w:sz w:val="22"/>
          <w:szCs w:val="22"/>
        </w:rPr>
        <w:t xml:space="preserve"> Landscape of Somatic Mutation in G1 and G2 Cohorts. (A) Waterfall plot shows the mutation distribution of the top 15 most frequently mutated genes. (B) The lollipop plot illustrates the differential distribution of variants for TP53. (C) Forest plot displays the top 12 most significantly differentially mutated genes between two cohorts. (D) The heatmap illustrates the mutually co-occurring and exclusive mutations of the top 25 frequently mutated genes.</w:t>
      </w:r>
    </w:p>
    <w:p w14:paraId="3EF33C90" w14:textId="77777777" w:rsidR="00D14EBE" w:rsidRPr="00815814" w:rsidRDefault="00D14EBE" w:rsidP="00D14EBE">
      <w:pPr>
        <w:spacing w:line="360" w:lineRule="auto"/>
        <w:ind w:leftChars="-342" w:left="-718" w:rightChars="-330" w:right="-693"/>
        <w:rPr>
          <w:sz w:val="22"/>
          <w:szCs w:val="22"/>
        </w:rPr>
      </w:pPr>
      <w:r w:rsidRPr="00815814">
        <w:rPr>
          <w:b/>
          <w:sz w:val="22"/>
          <w:szCs w:val="22"/>
        </w:rPr>
        <w:t>Figure S3.</w:t>
      </w:r>
      <w:r w:rsidRPr="00815814">
        <w:rPr>
          <w:sz w:val="22"/>
          <w:szCs w:val="22"/>
        </w:rPr>
        <w:t xml:space="preserve"> Kaplan-Meier curves show the independent relevance between overall survival time and TP53 mutation in G1 and G2 subgroups.</w:t>
      </w:r>
    </w:p>
    <w:p w14:paraId="1467355C" w14:textId="77777777" w:rsidR="00D14EBE" w:rsidRPr="00815814" w:rsidRDefault="00D14EBE" w:rsidP="00D14EBE">
      <w:pPr>
        <w:spacing w:line="360" w:lineRule="auto"/>
        <w:ind w:leftChars="-342" w:left="-718" w:rightChars="-330" w:right="-693"/>
        <w:rPr>
          <w:sz w:val="22"/>
          <w:szCs w:val="22"/>
        </w:rPr>
      </w:pPr>
      <w:r w:rsidRPr="00815814">
        <w:rPr>
          <w:b/>
          <w:sz w:val="22"/>
          <w:szCs w:val="22"/>
        </w:rPr>
        <w:t>Figure S4.</w:t>
      </w:r>
      <w:r w:rsidRPr="00815814">
        <w:rPr>
          <w:sz w:val="22"/>
          <w:szCs w:val="22"/>
        </w:rPr>
        <w:t xml:space="preserve"> ROC curves show the time-dependent predictive efficiency of the risk signature.</w:t>
      </w:r>
    </w:p>
    <w:p w14:paraId="5676C41E" w14:textId="77777777" w:rsidR="00D14EBE" w:rsidRPr="00815814" w:rsidRDefault="00D14EBE" w:rsidP="00D14EBE">
      <w:pPr>
        <w:spacing w:line="360" w:lineRule="auto"/>
        <w:ind w:leftChars="-342" w:left="-718" w:rightChars="-330" w:right="-693"/>
        <w:rPr>
          <w:sz w:val="22"/>
          <w:szCs w:val="22"/>
        </w:rPr>
      </w:pPr>
      <w:r w:rsidRPr="00815814">
        <w:rPr>
          <w:b/>
          <w:sz w:val="22"/>
          <w:szCs w:val="22"/>
        </w:rPr>
        <w:t>Figure S5.</w:t>
      </w:r>
      <w:r w:rsidRPr="00815814">
        <w:rPr>
          <w:sz w:val="22"/>
          <w:szCs w:val="22"/>
        </w:rPr>
        <w:t xml:space="preserve"> Risk plot for the SARC patients in TARGET and GSE1679 datasets.</w:t>
      </w:r>
    </w:p>
    <w:p w14:paraId="254E877F" w14:textId="77777777" w:rsidR="00D14EBE" w:rsidRPr="00815814" w:rsidRDefault="00D14EBE" w:rsidP="00D14EBE">
      <w:pPr>
        <w:spacing w:line="360" w:lineRule="auto"/>
        <w:ind w:leftChars="-342" w:left="-718" w:rightChars="-330" w:right="-693"/>
        <w:rPr>
          <w:sz w:val="22"/>
          <w:szCs w:val="22"/>
        </w:rPr>
      </w:pPr>
      <w:r w:rsidRPr="00815814">
        <w:rPr>
          <w:b/>
          <w:sz w:val="22"/>
          <w:szCs w:val="22"/>
        </w:rPr>
        <w:t>Figure S6.</w:t>
      </w:r>
      <w:r w:rsidRPr="00815814">
        <w:rPr>
          <w:sz w:val="22"/>
          <w:szCs w:val="22"/>
        </w:rPr>
        <w:t xml:space="preserve"> ROC curves show the predictive efficiency of the risk signature on G1 and G2 subgroups. </w:t>
      </w:r>
    </w:p>
    <w:p w14:paraId="50B0C962" w14:textId="77777777" w:rsidR="00D14EBE" w:rsidRPr="00815814" w:rsidRDefault="00D14EBE" w:rsidP="00D14EBE">
      <w:pPr>
        <w:spacing w:line="360" w:lineRule="auto"/>
        <w:ind w:leftChars="-342" w:left="-718" w:rightChars="-330" w:right="-693"/>
        <w:rPr>
          <w:sz w:val="22"/>
          <w:szCs w:val="22"/>
        </w:rPr>
      </w:pPr>
      <w:r w:rsidRPr="00815814">
        <w:rPr>
          <w:b/>
          <w:sz w:val="22"/>
          <w:szCs w:val="22"/>
        </w:rPr>
        <w:t>Figure S7.</w:t>
      </w:r>
      <w:r w:rsidRPr="00815814">
        <w:rPr>
          <w:sz w:val="22"/>
          <w:szCs w:val="22"/>
        </w:rPr>
        <w:t xml:space="preserve"> Immune checkpoint blockade therapy response prediction indicated potential immunotherapeutic efficiency of high-risk group.</w:t>
      </w:r>
    </w:p>
    <w:p w14:paraId="292AA1EC" w14:textId="745CC734" w:rsidR="00D14EBE" w:rsidRPr="00815814" w:rsidRDefault="00D14EBE" w:rsidP="00D14EBE">
      <w:pPr>
        <w:spacing w:line="360" w:lineRule="auto"/>
        <w:ind w:leftChars="-330" w:left="-693" w:rightChars="-330" w:right="-693"/>
        <w:rPr>
          <w:sz w:val="22"/>
          <w:szCs w:val="22"/>
        </w:rPr>
      </w:pPr>
      <w:r w:rsidRPr="00815814">
        <w:rPr>
          <w:b/>
          <w:sz w:val="22"/>
          <w:szCs w:val="22"/>
        </w:rPr>
        <w:t>Table S</w:t>
      </w:r>
      <w:r w:rsidR="00A621F7">
        <w:rPr>
          <w:b/>
          <w:sz w:val="22"/>
          <w:szCs w:val="22"/>
        </w:rPr>
        <w:t>1</w:t>
      </w:r>
      <w:r w:rsidRPr="00815814">
        <w:rPr>
          <w:b/>
          <w:sz w:val="22"/>
          <w:szCs w:val="22"/>
        </w:rPr>
        <w:t>.</w:t>
      </w:r>
      <w:r w:rsidRPr="00815814">
        <w:rPr>
          <w:sz w:val="22"/>
          <w:szCs w:val="22"/>
        </w:rPr>
        <w:t xml:space="preserve"> Differentially expressed genes between G1 and G2 groups.</w:t>
      </w:r>
    </w:p>
    <w:p w14:paraId="6392B519" w14:textId="0DF171AA" w:rsidR="00D14EBE" w:rsidRPr="00815814" w:rsidRDefault="00D14EBE" w:rsidP="00D14EBE">
      <w:pPr>
        <w:spacing w:line="360" w:lineRule="auto"/>
        <w:ind w:leftChars="-330" w:left="-693" w:rightChars="-330" w:right="-693"/>
        <w:rPr>
          <w:sz w:val="22"/>
          <w:szCs w:val="22"/>
        </w:rPr>
      </w:pPr>
      <w:r w:rsidRPr="00815814">
        <w:rPr>
          <w:b/>
          <w:sz w:val="22"/>
          <w:szCs w:val="22"/>
        </w:rPr>
        <w:t>Table S</w:t>
      </w:r>
      <w:r w:rsidR="00A621F7">
        <w:rPr>
          <w:b/>
          <w:sz w:val="22"/>
          <w:szCs w:val="22"/>
        </w:rPr>
        <w:t>2</w:t>
      </w:r>
      <w:r w:rsidRPr="00815814">
        <w:rPr>
          <w:b/>
          <w:sz w:val="22"/>
          <w:szCs w:val="22"/>
        </w:rPr>
        <w:t>.</w:t>
      </w:r>
      <w:r w:rsidRPr="00815814">
        <w:rPr>
          <w:sz w:val="22"/>
          <w:szCs w:val="22"/>
        </w:rPr>
        <w:t xml:space="preserve"> GSEA enrichment results based on KEGG and hallmark gene sets.</w:t>
      </w:r>
    </w:p>
    <w:p w14:paraId="0E3A5C2C" w14:textId="27E27BF7" w:rsidR="00D14EBE" w:rsidRPr="00815814" w:rsidRDefault="00D14EBE" w:rsidP="00D14EBE">
      <w:pPr>
        <w:spacing w:line="360" w:lineRule="auto"/>
        <w:ind w:leftChars="-330" w:left="-693" w:rightChars="-330" w:right="-693"/>
        <w:rPr>
          <w:sz w:val="22"/>
          <w:szCs w:val="22"/>
        </w:rPr>
      </w:pPr>
      <w:r w:rsidRPr="00815814">
        <w:rPr>
          <w:b/>
          <w:sz w:val="22"/>
          <w:szCs w:val="22"/>
        </w:rPr>
        <w:t>Table S</w:t>
      </w:r>
      <w:r w:rsidR="00A621F7">
        <w:rPr>
          <w:b/>
          <w:sz w:val="22"/>
          <w:szCs w:val="22"/>
        </w:rPr>
        <w:t>3</w:t>
      </w:r>
      <w:r w:rsidRPr="00815814">
        <w:rPr>
          <w:b/>
          <w:sz w:val="22"/>
          <w:szCs w:val="22"/>
        </w:rPr>
        <w:t>.</w:t>
      </w:r>
      <w:r w:rsidRPr="00815814">
        <w:rPr>
          <w:sz w:val="22"/>
          <w:szCs w:val="22"/>
        </w:rPr>
        <w:t xml:space="preserve"> Connective Map screened 56 potential small molecules specific to different sub-groups.</w:t>
      </w:r>
    </w:p>
    <w:p w14:paraId="6FEEC086" w14:textId="2CBE3094" w:rsidR="00D14EBE" w:rsidRPr="00815814" w:rsidRDefault="00D14EBE" w:rsidP="00D14EBE">
      <w:pPr>
        <w:spacing w:line="360" w:lineRule="auto"/>
        <w:ind w:leftChars="-330" w:left="-693" w:rightChars="-330" w:right="-693"/>
        <w:rPr>
          <w:sz w:val="22"/>
          <w:szCs w:val="22"/>
        </w:rPr>
      </w:pPr>
      <w:r w:rsidRPr="00815814">
        <w:rPr>
          <w:b/>
          <w:sz w:val="22"/>
          <w:szCs w:val="22"/>
        </w:rPr>
        <w:t>Table S</w:t>
      </w:r>
      <w:r w:rsidR="00A621F7">
        <w:rPr>
          <w:b/>
          <w:sz w:val="22"/>
          <w:szCs w:val="22"/>
        </w:rPr>
        <w:t>4</w:t>
      </w:r>
      <w:bookmarkStart w:id="0" w:name="_GoBack"/>
      <w:bookmarkEnd w:id="0"/>
      <w:r w:rsidRPr="00815814">
        <w:rPr>
          <w:b/>
          <w:sz w:val="22"/>
          <w:szCs w:val="22"/>
        </w:rPr>
        <w:t>.</w:t>
      </w:r>
      <w:r w:rsidRPr="00815814">
        <w:rPr>
          <w:sz w:val="22"/>
          <w:szCs w:val="22"/>
        </w:rPr>
        <w:t xml:space="preserve"> Immune cell components derived from CIBERSORT and ICB prediction based on </w:t>
      </w:r>
      <w:proofErr w:type="spellStart"/>
      <w:r w:rsidRPr="00815814">
        <w:rPr>
          <w:sz w:val="22"/>
          <w:szCs w:val="22"/>
        </w:rPr>
        <w:t>ImmuneCellAI</w:t>
      </w:r>
      <w:proofErr w:type="spellEnd"/>
      <w:r w:rsidRPr="00815814">
        <w:rPr>
          <w:sz w:val="22"/>
          <w:szCs w:val="22"/>
        </w:rPr>
        <w:t>.</w:t>
      </w:r>
    </w:p>
    <w:p w14:paraId="69FAB4FA" w14:textId="77777777" w:rsidR="00A42A5F" w:rsidRPr="00815814" w:rsidRDefault="00A42A5F"/>
    <w:sectPr w:rsidR="00A42A5F" w:rsidRPr="00815814" w:rsidSect="00544697">
      <w:headerReference w:type="default" r:id="rId6"/>
      <w:footerReference w:type="even" r:id="rId7"/>
      <w:footerReference w:type="default" r:id="rId8"/>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64BD45" w14:textId="77777777" w:rsidR="00366986" w:rsidRDefault="00366986" w:rsidP="00412D2A">
      <w:r>
        <w:separator/>
      </w:r>
    </w:p>
  </w:endnote>
  <w:endnote w:type="continuationSeparator" w:id="0">
    <w:p w14:paraId="7A999CB9" w14:textId="77777777" w:rsidR="00366986" w:rsidRDefault="00366986" w:rsidP="00412D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480FBC" w14:textId="77777777" w:rsidR="000360FB" w:rsidRDefault="009E0638" w:rsidP="00544697">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75908486" w14:textId="77777777" w:rsidR="000360FB" w:rsidRDefault="00A621F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9E5FE2" w14:textId="77777777" w:rsidR="000360FB" w:rsidRDefault="009E0638" w:rsidP="00544697">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14:paraId="71D14FD8" w14:textId="77777777" w:rsidR="000360FB" w:rsidRDefault="00A621F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6C4392" w14:textId="77777777" w:rsidR="00366986" w:rsidRDefault="00366986" w:rsidP="00412D2A">
      <w:r>
        <w:separator/>
      </w:r>
    </w:p>
  </w:footnote>
  <w:footnote w:type="continuationSeparator" w:id="0">
    <w:p w14:paraId="42AFDDAB" w14:textId="77777777" w:rsidR="00366986" w:rsidRDefault="00366986" w:rsidP="00412D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EDF71" w14:textId="77777777" w:rsidR="000360FB" w:rsidRDefault="00A621F7" w:rsidP="00544697">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FD0F64"/>
    <w:rsid w:val="001F4CCE"/>
    <w:rsid w:val="00264FF3"/>
    <w:rsid w:val="002F0128"/>
    <w:rsid w:val="00366986"/>
    <w:rsid w:val="003A3920"/>
    <w:rsid w:val="00412D2A"/>
    <w:rsid w:val="00492EA0"/>
    <w:rsid w:val="006063C8"/>
    <w:rsid w:val="00815814"/>
    <w:rsid w:val="009E0638"/>
    <w:rsid w:val="00A27365"/>
    <w:rsid w:val="00A42A5F"/>
    <w:rsid w:val="00A621F7"/>
    <w:rsid w:val="00BC5844"/>
    <w:rsid w:val="00C527E5"/>
    <w:rsid w:val="00CE2A57"/>
    <w:rsid w:val="00D14EBE"/>
    <w:rsid w:val="00FB1C4B"/>
    <w:rsid w:val="00FD0F64"/>
    <w:rsid w:val="00FE3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8E60EBA"/>
  <w15:chartTrackingRefBased/>
  <w15:docId w15:val="{5A665B94-BA2B-4088-B5EB-F47245B10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12D2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 Char"/>
    <w:basedOn w:val="a"/>
    <w:link w:val="a4"/>
    <w:unhideWhenUsed/>
    <w:rsid w:val="00412D2A"/>
    <w:pPr>
      <w:pBdr>
        <w:bottom w:val="single" w:sz="6" w:space="1" w:color="auto"/>
      </w:pBdr>
      <w:tabs>
        <w:tab w:val="center" w:pos="4153"/>
        <w:tab w:val="right" w:pos="8306"/>
      </w:tabs>
      <w:snapToGrid w:val="0"/>
      <w:jc w:val="center"/>
    </w:pPr>
    <w:rPr>
      <w:sz w:val="18"/>
      <w:szCs w:val="18"/>
    </w:rPr>
  </w:style>
  <w:style w:type="character" w:customStyle="1" w:styleId="a4">
    <w:name w:val="页眉 字符"/>
    <w:aliases w:val=" Char 字符"/>
    <w:basedOn w:val="a0"/>
    <w:link w:val="a3"/>
    <w:rsid w:val="00412D2A"/>
    <w:rPr>
      <w:sz w:val="18"/>
      <w:szCs w:val="18"/>
    </w:rPr>
  </w:style>
  <w:style w:type="paragraph" w:styleId="a5">
    <w:name w:val="footer"/>
    <w:basedOn w:val="a"/>
    <w:link w:val="a6"/>
    <w:unhideWhenUsed/>
    <w:rsid w:val="00412D2A"/>
    <w:pPr>
      <w:tabs>
        <w:tab w:val="center" w:pos="4153"/>
        <w:tab w:val="right" w:pos="8306"/>
      </w:tabs>
      <w:snapToGrid w:val="0"/>
      <w:jc w:val="left"/>
    </w:pPr>
    <w:rPr>
      <w:sz w:val="18"/>
      <w:szCs w:val="18"/>
    </w:rPr>
  </w:style>
  <w:style w:type="character" w:customStyle="1" w:styleId="a6">
    <w:name w:val="页脚 字符"/>
    <w:basedOn w:val="a0"/>
    <w:link w:val="a5"/>
    <w:uiPriority w:val="99"/>
    <w:rsid w:val="00412D2A"/>
    <w:rPr>
      <w:sz w:val="18"/>
      <w:szCs w:val="18"/>
    </w:rPr>
  </w:style>
  <w:style w:type="character" w:styleId="a7">
    <w:name w:val="page number"/>
    <w:basedOn w:val="a0"/>
    <w:rsid w:val="00412D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209</Words>
  <Characters>1193</Characters>
  <Application>Microsoft Office Word</Application>
  <DocSecurity>0</DocSecurity>
  <Lines>9</Lines>
  <Paragraphs>2</Paragraphs>
  <ScaleCrop>false</ScaleCrop>
  <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YUKAI</cp:lastModifiedBy>
  <cp:revision>10</cp:revision>
  <dcterms:created xsi:type="dcterms:W3CDTF">2018-06-06T02:48:00Z</dcterms:created>
  <dcterms:modified xsi:type="dcterms:W3CDTF">2020-11-27T13:07:00Z</dcterms:modified>
</cp:coreProperties>
</file>