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等线" w:cs="Times New Roman"/>
          <w:b/>
          <w:color w:val="000000"/>
          <w:kern w:val="0"/>
          <w:sz w:val="32"/>
          <w:szCs w:val="32"/>
        </w:rPr>
        <w:t>Supplementary materials</w:t>
      </w:r>
    </w:p>
    <w:p>
      <w:pPr>
        <w:pStyle w:val="3"/>
        <w:keepNext w:val="0"/>
        <w:keepLines w:val="0"/>
        <w:spacing w:line="480" w:lineRule="auto"/>
        <w:jc w:val="center"/>
        <w:rPr>
          <w:rFonts w:hint="eastAsia" w:ascii="Times New Roman" w:hAnsi="Times New Roman" w:cs="Times New Roman" w:eastAsiaTheme="minorEastAsia"/>
          <w:sz w:val="24"/>
          <w:szCs w:val="24"/>
        </w:rPr>
      </w:pPr>
      <w:bookmarkStart w:id="0" w:name="OLE_LINK95"/>
      <w:bookmarkStart w:id="1" w:name="OLE_LINK96"/>
      <w:r>
        <w:rPr>
          <w:rFonts w:hint="eastAsia" w:ascii="Times New Roman" w:hAnsi="Times New Roman" w:cs="Times New Roman" w:eastAsiaTheme="minorEastAsia"/>
          <w:sz w:val="24"/>
          <w:szCs w:val="24"/>
        </w:rPr>
        <w:t>T</w:t>
      </w:r>
      <w:r>
        <w:rPr>
          <w:rFonts w:ascii="Times New Roman" w:hAnsi="Times New Roman" w:cs="Times New Roman" w:eastAsiaTheme="minorEastAsia"/>
          <w:sz w:val="24"/>
          <w:szCs w:val="24"/>
        </w:rPr>
        <w:t xml:space="preserve">he effect of </w:t>
      </w:r>
      <w:r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  <w:t>p</w:t>
      </w:r>
      <w:r>
        <w:rPr>
          <w:rFonts w:ascii="Times New Roman" w:hAnsi="Times New Roman" w:cs="Times New Roman" w:eastAsiaTheme="minorEastAsia"/>
          <w:sz w:val="24"/>
          <w:szCs w:val="24"/>
        </w:rPr>
        <w:t xml:space="preserve">olyethersulfone and </w:t>
      </w:r>
      <w:r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  <w:t>n</w:t>
      </w:r>
      <w:r>
        <w:rPr>
          <w:rFonts w:ascii="Times New Roman" w:hAnsi="Times New Roman" w:cs="Times New Roman" w:eastAsiaTheme="minorEastAsia"/>
          <w:sz w:val="24"/>
          <w:szCs w:val="24"/>
        </w:rPr>
        <w:t xml:space="preserve">ylon 6 micromembrane filters on the </w:t>
      </w:r>
      <w:r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  <w:t>p</w:t>
      </w:r>
      <w:r>
        <w:rPr>
          <w:rFonts w:ascii="Times New Roman" w:hAnsi="Times New Roman" w:cs="Times New Roman" w:eastAsiaTheme="minorEastAsia"/>
          <w:sz w:val="24"/>
          <w:szCs w:val="24"/>
        </w:rPr>
        <w:t>yraclostrobin detection：Adsorption performance and mechanism</w:t>
      </w:r>
    </w:p>
    <w:bookmarkEnd w:id="0"/>
    <w:bookmarkEnd w:id="1"/>
    <w:p>
      <w:pPr>
        <w:pStyle w:val="3"/>
        <w:keepNext w:val="0"/>
        <w:keepLines w:val="0"/>
        <w:spacing w:line="480" w:lineRule="auto"/>
        <w:rPr>
          <w:rFonts w:ascii="Times New Roman" w:hAnsi="Times New Roman" w:eastAsia="Zurich BT" w:cs="Times New Roman"/>
          <w:b w:val="0"/>
          <w:sz w:val="24"/>
          <w:szCs w:val="24"/>
        </w:rPr>
      </w:pPr>
      <w:r>
        <w:rPr>
          <w:rFonts w:ascii="Times New Roman" w:hAnsi="Times New Roman" w:eastAsia="Zurich BT" w:cs="Times New Roman"/>
          <w:b w:val="0"/>
          <w:sz w:val="24"/>
          <w:szCs w:val="24"/>
        </w:rPr>
        <w:t xml:space="preserve">Xiaolan Shao </w:t>
      </w:r>
      <w:r>
        <w:rPr>
          <w:rFonts w:ascii="Times New Roman" w:hAnsi="Times New Roman" w:eastAsia="Zurich BT" w:cs="Times New Roman"/>
          <w:b w:val="0"/>
          <w:sz w:val="24"/>
          <w:szCs w:val="24"/>
          <w:vertAlign w:val="superscript"/>
        </w:rPr>
        <w:t xml:space="preserve">a, b </w:t>
      </w:r>
      <w:r>
        <w:rPr>
          <w:rFonts w:ascii="Times New Roman" w:hAnsi="Times New Roman" w:eastAsia="微软雅黑" w:cs="Times New Roman"/>
          <w:b w:val="0"/>
          <w:sz w:val="24"/>
          <w:szCs w:val="24"/>
          <w:vertAlign w:val="superscript"/>
        </w:rPr>
        <w:t>†</w:t>
      </w:r>
      <w:r>
        <w:rPr>
          <w:rFonts w:ascii="Times New Roman" w:hAnsi="Times New Roman" w:eastAsia="Zurich BT" w:cs="Times New Roman"/>
          <w:b w:val="0"/>
          <w:sz w:val="24"/>
          <w:szCs w:val="24"/>
        </w:rPr>
        <w:t>, Lejun Liu</w:t>
      </w:r>
      <w:r>
        <w:rPr>
          <w:rFonts w:ascii="Times New Roman" w:hAnsi="Times New Roman" w:eastAsia="Zurich BT" w:cs="Times New Roman"/>
          <w:b w:val="0"/>
          <w:sz w:val="24"/>
          <w:szCs w:val="24"/>
          <w:vertAlign w:val="superscript"/>
        </w:rPr>
        <w:t xml:space="preserve"> a </w:t>
      </w:r>
      <w:r>
        <w:rPr>
          <w:rFonts w:ascii="Times New Roman" w:hAnsi="Times New Roman" w:eastAsia="微软雅黑" w:cs="Times New Roman"/>
          <w:b w:val="0"/>
          <w:sz w:val="24"/>
          <w:szCs w:val="24"/>
          <w:vertAlign w:val="superscript"/>
        </w:rPr>
        <w:t>†</w:t>
      </w:r>
      <w:r>
        <w:rPr>
          <w:rFonts w:ascii="Times New Roman" w:hAnsi="Times New Roman" w:eastAsia="Zurich BT" w:cs="Times New Roman"/>
          <w:b w:val="0"/>
          <w:sz w:val="24"/>
          <w:szCs w:val="24"/>
        </w:rPr>
        <w:t xml:space="preserve">, Hui Li </w:t>
      </w:r>
      <w:r>
        <w:rPr>
          <w:rFonts w:ascii="Times New Roman" w:hAnsi="Times New Roman" w:eastAsia="Zurich BT" w:cs="Times New Roman"/>
          <w:b w:val="0"/>
          <w:sz w:val="24"/>
          <w:szCs w:val="24"/>
          <w:vertAlign w:val="superscript"/>
        </w:rPr>
        <w:t>c</w:t>
      </w:r>
      <w:r>
        <w:rPr>
          <w:rFonts w:ascii="Times New Roman" w:hAnsi="Times New Roman" w:eastAsia="Zurich BT" w:cs="Times New Roman"/>
          <w:b w:val="0"/>
          <w:sz w:val="24"/>
          <w:szCs w:val="24"/>
        </w:rPr>
        <w:t xml:space="preserve">, </w:t>
      </w:r>
      <w:r>
        <w:rPr>
          <w:rFonts w:hint="eastAsia" w:ascii="Times New Roman" w:hAnsi="Times New Roman" w:eastAsia="Zurich BT" w:cs="Times New Roman"/>
          <w:b w:val="0"/>
          <w:sz w:val="24"/>
          <w:szCs w:val="24"/>
        </w:rPr>
        <w:t xml:space="preserve">Yue Luo </w:t>
      </w:r>
      <w:r>
        <w:rPr>
          <w:rFonts w:ascii="Times New Roman" w:hAnsi="Times New Roman" w:eastAsia="Zurich BT" w:cs="Times New Roman"/>
          <w:b w:val="0"/>
          <w:sz w:val="24"/>
          <w:szCs w:val="24"/>
          <w:vertAlign w:val="superscript"/>
        </w:rPr>
        <w:t>a</w:t>
      </w:r>
      <w:r>
        <w:rPr>
          <w:rFonts w:hint="eastAsia" w:ascii="Times New Roman" w:hAnsi="Times New Roman" w:eastAsia="Zurich BT" w:cs="Times New Roman"/>
          <w:b w:val="0"/>
          <w:sz w:val="24"/>
          <w:szCs w:val="24"/>
        </w:rPr>
        <w:t>,</w:t>
      </w:r>
      <w:r>
        <w:rPr>
          <w:rFonts w:hint="eastAsia" w:ascii="Times New Roman" w:hAnsi="Times New Roman" w:eastAsia="Zurich BT" w:cs="Times New Roman"/>
          <w:b w:val="0"/>
          <w:sz w:val="24"/>
          <w:szCs w:val="24"/>
          <w:lang w:val="en-US" w:eastAsia="zh-CN"/>
        </w:rPr>
        <w:t xml:space="preserve"> Jingyu Zhao </w:t>
      </w:r>
      <w:r>
        <w:rPr>
          <w:rFonts w:ascii="Times New Roman" w:hAnsi="Times New Roman" w:eastAsia="Zurich BT" w:cs="Times New Roman"/>
          <w:b w:val="0"/>
          <w:sz w:val="24"/>
          <w:szCs w:val="24"/>
          <w:vertAlign w:val="superscript"/>
        </w:rPr>
        <w:t>a</w:t>
      </w:r>
      <w:r>
        <w:rPr>
          <w:rFonts w:hint="eastAsia" w:ascii="Times New Roman" w:hAnsi="Times New Roman" w:eastAsia="Zurich BT" w:cs="Times New Roman"/>
          <w:b w:val="0"/>
          <w:sz w:val="24"/>
          <w:szCs w:val="24"/>
          <w:vertAlign w:val="baseline"/>
          <w:lang w:val="en-US" w:eastAsia="zh-CN"/>
        </w:rPr>
        <w:t>,</w:t>
      </w:r>
      <w:r>
        <w:rPr>
          <w:rFonts w:ascii="Times New Roman" w:hAnsi="Times New Roman" w:eastAsia="Zurich BT" w:cs="Times New Roman"/>
          <w:b w:val="0"/>
          <w:sz w:val="24"/>
          <w:szCs w:val="24"/>
        </w:rPr>
        <w:t xml:space="preserve"> </w:t>
      </w:r>
      <w:r>
        <w:rPr>
          <w:rFonts w:hint="eastAsia" w:ascii="Times New Roman" w:hAnsi="Times New Roman" w:eastAsia="Zurich BT" w:cs="Times New Roman"/>
          <w:b w:val="0"/>
          <w:sz w:val="24"/>
          <w:szCs w:val="24"/>
          <w:lang w:val="en-US" w:eastAsia="zh-CN"/>
        </w:rPr>
        <w:t xml:space="preserve">Shuai Liu </w:t>
      </w:r>
      <w:r>
        <w:rPr>
          <w:rFonts w:ascii="Times New Roman" w:hAnsi="Times New Roman" w:eastAsia="Zurich BT" w:cs="Times New Roman"/>
          <w:b w:val="0"/>
          <w:sz w:val="24"/>
          <w:szCs w:val="24"/>
          <w:vertAlign w:val="superscript"/>
        </w:rPr>
        <w:t>a</w:t>
      </w:r>
      <w:r>
        <w:rPr>
          <w:rFonts w:hint="eastAsia" w:ascii="Times New Roman" w:hAnsi="Times New Roman" w:eastAsia="Zurich BT" w:cs="Times New Roman"/>
          <w:b w:val="0"/>
          <w:sz w:val="24"/>
          <w:szCs w:val="24"/>
          <w:lang w:val="en-US" w:eastAsia="zh-CN"/>
        </w:rPr>
        <w:t xml:space="preserve"> , Bei Yan </w:t>
      </w:r>
      <w:r>
        <w:rPr>
          <w:rFonts w:ascii="Times New Roman" w:hAnsi="Times New Roman" w:eastAsia="Zurich BT" w:cs="Times New Roman"/>
          <w:b w:val="0"/>
          <w:sz w:val="24"/>
          <w:szCs w:val="24"/>
          <w:vertAlign w:val="superscript"/>
        </w:rPr>
        <w:t>a</w:t>
      </w:r>
      <w:r>
        <w:rPr>
          <w:rFonts w:hint="eastAsia" w:ascii="Times New Roman" w:hAnsi="Times New Roman" w:eastAsia="Zurich BT" w:cs="Times New Roman"/>
          <w:b w:val="0"/>
          <w:sz w:val="24"/>
          <w:szCs w:val="24"/>
          <w:vertAlign w:val="baseline"/>
          <w:lang w:val="en-US" w:eastAsia="zh-CN"/>
        </w:rPr>
        <w:t xml:space="preserve">, Dan Wang </w:t>
      </w:r>
      <w:r>
        <w:rPr>
          <w:rFonts w:ascii="Times New Roman" w:hAnsi="Times New Roman" w:eastAsia="Zurich BT" w:cs="Times New Roman"/>
          <w:b w:val="0"/>
          <w:sz w:val="24"/>
          <w:szCs w:val="24"/>
          <w:vertAlign w:val="superscript"/>
        </w:rPr>
        <w:t>a</w:t>
      </w:r>
      <w:r>
        <w:rPr>
          <w:rFonts w:hint="eastAsia" w:ascii="Times New Roman" w:hAnsi="Times New Roman" w:eastAsia="Zurich BT" w:cs="Times New Roman"/>
          <w:b w:val="0"/>
          <w:sz w:val="24"/>
          <w:szCs w:val="24"/>
          <w:vertAlign w:val="baseline"/>
          <w:lang w:val="en-US" w:eastAsia="zh-CN"/>
        </w:rPr>
        <w:t xml:space="preserve">, Kun Luo </w:t>
      </w:r>
      <w:r>
        <w:rPr>
          <w:rFonts w:ascii="Times New Roman" w:hAnsi="Times New Roman" w:eastAsia="Zurich BT" w:cs="Times New Roman"/>
          <w:b w:val="0"/>
          <w:sz w:val="24"/>
          <w:szCs w:val="24"/>
          <w:vertAlign w:val="superscript"/>
        </w:rPr>
        <w:t>a</w:t>
      </w:r>
      <w:r>
        <w:rPr>
          <w:rFonts w:hint="eastAsia" w:ascii="Times New Roman" w:hAnsi="Times New Roman" w:eastAsia="Zurich BT" w:cs="Times New Roman"/>
          <w:b w:val="0"/>
          <w:sz w:val="24"/>
          <w:szCs w:val="24"/>
          <w:vertAlign w:val="baseline"/>
          <w:lang w:val="en-US" w:eastAsia="zh-CN"/>
        </w:rPr>
        <w:t xml:space="preserve">, Min Liu </w:t>
      </w:r>
      <w:r>
        <w:rPr>
          <w:rFonts w:ascii="Times New Roman" w:hAnsi="Times New Roman" w:eastAsia="Zurich BT" w:cs="Times New Roman"/>
          <w:b w:val="0"/>
          <w:sz w:val="24"/>
          <w:szCs w:val="24"/>
          <w:vertAlign w:val="superscript"/>
        </w:rPr>
        <w:t>a</w:t>
      </w:r>
      <w:r>
        <w:rPr>
          <w:rFonts w:hint="eastAsia" w:ascii="Times New Roman" w:hAnsi="Times New Roman" w:eastAsia="Zurich BT" w:cs="Times New Roman"/>
          <w:b w:val="0"/>
          <w:sz w:val="24"/>
          <w:szCs w:val="24"/>
          <w:vertAlign w:val="baseline"/>
          <w:lang w:val="en-US" w:eastAsia="zh-CN"/>
        </w:rPr>
        <w:t xml:space="preserve">, </w:t>
      </w:r>
      <w:r>
        <w:rPr>
          <w:rFonts w:ascii="Times New Roman" w:hAnsi="Times New Roman" w:cs="Times New Roman"/>
          <w:b w:val="0"/>
          <w:iCs/>
          <w:sz w:val="24"/>
          <w:szCs w:val="24"/>
        </w:rPr>
        <w:t>Lianyang Bai</w:t>
      </w:r>
      <w:r>
        <w:rPr>
          <w:rFonts w:ascii="Times New Roman" w:hAnsi="Times New Roman" w:eastAsia="Zurich BT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eastAsia="Zurich BT" w:cs="Times New Roman"/>
          <w:b w:val="0"/>
          <w:sz w:val="24"/>
          <w:szCs w:val="24"/>
          <w:vertAlign w:val="superscript"/>
        </w:rPr>
        <w:t>a, b</w:t>
      </w:r>
      <w:r>
        <w:rPr>
          <w:rFonts w:ascii="Times New Roman" w:hAnsi="Times New Roman" w:eastAsia="Zurich BT" w:cs="Times New Roman"/>
          <w:b w:val="0"/>
          <w:sz w:val="24"/>
          <w:szCs w:val="24"/>
        </w:rPr>
        <w:t xml:space="preserve">, </w:t>
      </w:r>
      <w:r>
        <w:rPr>
          <w:rFonts w:hint="eastAsia" w:ascii="Times New Roman" w:hAnsi="Times New Roman" w:eastAsia="Zurich BT" w:cs="Times New Roman"/>
          <w:b w:val="0"/>
          <w:sz w:val="24"/>
          <w:szCs w:val="24"/>
        </w:rPr>
        <w:t xml:space="preserve">Xiaoyun Li </w:t>
      </w:r>
      <w:r>
        <w:rPr>
          <w:rFonts w:hint="eastAsia" w:ascii="Times New Roman" w:hAnsi="Times New Roman" w:eastAsia="Zurich BT" w:cs="Times New Roman"/>
          <w:b w:val="0"/>
          <w:sz w:val="24"/>
          <w:szCs w:val="24"/>
          <w:vertAlign w:val="superscript"/>
        </w:rPr>
        <w:t>d *</w:t>
      </w:r>
      <w:r>
        <w:rPr>
          <w:rFonts w:ascii="Times New Roman" w:hAnsi="Times New Roman" w:eastAsia="Zurich BT" w:cs="Times New Roman"/>
          <w:b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iCs/>
          <w:sz w:val="24"/>
          <w:szCs w:val="24"/>
        </w:rPr>
        <w:t>Kailin Liu</w:t>
      </w:r>
      <w:r>
        <w:rPr>
          <w:rFonts w:ascii="Times New Roman" w:hAnsi="Times New Roman" w:eastAsia="Zurich BT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eastAsia="Zurich BT" w:cs="Times New Roman"/>
          <w:b w:val="0"/>
          <w:sz w:val="24"/>
          <w:szCs w:val="24"/>
          <w:vertAlign w:val="superscript"/>
        </w:rPr>
        <w:t>a, b *</w:t>
      </w:r>
    </w:p>
    <w:p>
      <w:pPr>
        <w:pStyle w:val="6"/>
        <w:adjustRightInd w:val="0"/>
        <w:snapToGrid w:val="0"/>
        <w:spacing w:line="480" w:lineRule="auto"/>
        <w:rPr>
          <w:rFonts w:ascii="Times New Roman" w:hAnsi="Times New Roman" w:eastAsia="AdvPSTim-I" w:cs="Times New Roman"/>
          <w:i/>
          <w:kern w:val="0"/>
          <w:sz w:val="24"/>
          <w:szCs w:val="24"/>
          <w:vertAlign w:val="superscript"/>
        </w:rPr>
      </w:pPr>
      <w:r>
        <w:rPr>
          <w:rFonts w:ascii="Times New Roman" w:hAnsi="Times New Roman" w:eastAsia="仿宋_GB2312" w:cs="Times New Roman"/>
          <w:i/>
          <w:sz w:val="24"/>
          <w:szCs w:val="24"/>
          <w:vertAlign w:val="superscript"/>
        </w:rPr>
        <w:t>a</w:t>
      </w:r>
      <w:r>
        <w:rPr>
          <w:rFonts w:hint="eastAsia" w:ascii="Times New Roman" w:hAnsi="Times New Roman" w:eastAsia="仿宋_GB2312" w:cs="Times New Roman"/>
          <w:i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eastAsia="仿宋_GB2312" w:cs="Times New Roman"/>
          <w:i/>
          <w:sz w:val="24"/>
          <w:szCs w:val="24"/>
        </w:rPr>
        <w:t>College of Plant Protection, Hunan Agricultural University, Changsha 410128, PR China</w:t>
      </w:r>
      <w:r>
        <w:rPr>
          <w:rFonts w:ascii="Times New Roman" w:hAnsi="Times New Roman" w:eastAsia="AdvPSTim-I" w:cs="Times New Roman"/>
          <w:i/>
          <w:kern w:val="0"/>
          <w:sz w:val="24"/>
          <w:szCs w:val="24"/>
          <w:vertAlign w:val="superscript"/>
        </w:rPr>
        <w:t xml:space="preserve"> </w:t>
      </w:r>
    </w:p>
    <w:p>
      <w:pPr>
        <w:pStyle w:val="6"/>
        <w:adjustRightInd w:val="0"/>
        <w:snapToGrid w:val="0"/>
        <w:spacing w:line="480" w:lineRule="auto"/>
        <w:jc w:val="left"/>
        <w:rPr>
          <w:rFonts w:ascii="Times New Roman" w:hAnsi="Times New Roman" w:eastAsia="仿宋_GB2312" w:cs="Times New Roman"/>
          <w:i/>
          <w:sz w:val="24"/>
          <w:szCs w:val="24"/>
        </w:rPr>
      </w:pPr>
      <w:r>
        <w:rPr>
          <w:rFonts w:hint="eastAsia" w:ascii="Times New Roman" w:hAnsi="Times New Roman" w:eastAsia="仿宋_GB2312" w:cs="Times New Roman"/>
          <w:i/>
          <w:sz w:val="24"/>
          <w:szCs w:val="24"/>
          <w:vertAlign w:val="superscript"/>
        </w:rPr>
        <w:t xml:space="preserve">b  </w:t>
      </w:r>
      <w:r>
        <w:rPr>
          <w:rFonts w:ascii="Times New Roman" w:hAnsi="Times New Roman" w:eastAsia="仿宋_GB2312" w:cs="Times New Roman"/>
          <w:i/>
          <w:sz w:val="24"/>
          <w:szCs w:val="24"/>
        </w:rPr>
        <w:t>Hunan Weed Science Key Laboratory, Hunan Academy of Agricultural Sciences, 410125 Changsha, China</w:t>
      </w:r>
    </w:p>
    <w:p>
      <w:pPr>
        <w:pStyle w:val="6"/>
        <w:adjustRightInd w:val="0"/>
        <w:snapToGrid w:val="0"/>
        <w:spacing w:line="480" w:lineRule="auto"/>
        <w:rPr>
          <w:rFonts w:hint="eastAsia" w:ascii="Times New Roman" w:hAnsi="Times New Roman" w:eastAsia="仿宋_GB2312" w:cs="Times New Roman"/>
          <w:i/>
          <w:sz w:val="24"/>
          <w:szCs w:val="24"/>
        </w:rPr>
      </w:pPr>
      <w:r>
        <w:rPr>
          <w:rFonts w:ascii="Times New Roman" w:hAnsi="Times New Roman" w:eastAsia="仿宋_GB2312" w:cs="Times New Roman"/>
          <w:i/>
          <w:sz w:val="24"/>
          <w:szCs w:val="24"/>
          <w:vertAlign w:val="superscript"/>
        </w:rPr>
        <w:t>c</w:t>
      </w:r>
      <w:r>
        <w:rPr>
          <w:rFonts w:ascii="Times New Roman" w:hAnsi="Times New Roman" w:eastAsia="仿宋_GB2312" w:cs="Times New Roman"/>
          <w:i/>
          <w:sz w:val="24"/>
          <w:szCs w:val="24"/>
        </w:rPr>
        <w:t xml:space="preserve"> </w:t>
      </w:r>
      <w:r>
        <w:rPr>
          <w:rFonts w:hint="eastAsia" w:ascii="Times New Roman" w:hAnsi="Times New Roman" w:eastAsia="仿宋_GB2312" w:cs="Times New Roman"/>
          <w:i/>
          <w:sz w:val="24"/>
          <w:szCs w:val="24"/>
        </w:rPr>
        <w:t>Department of Crop and Soil Sciences, North Carolina State University, Raleigh, NC</w:t>
      </w:r>
    </w:p>
    <w:p>
      <w:pPr>
        <w:pStyle w:val="6"/>
        <w:adjustRightInd w:val="0"/>
        <w:snapToGrid w:val="0"/>
        <w:spacing w:line="480" w:lineRule="auto"/>
        <w:rPr>
          <w:rFonts w:ascii="Times New Roman" w:hAnsi="Times New Roman" w:eastAsia="仿宋_GB2312" w:cs="Times New Roman"/>
          <w:i/>
          <w:sz w:val="24"/>
          <w:szCs w:val="24"/>
        </w:rPr>
      </w:pPr>
      <w:r>
        <w:rPr>
          <w:rFonts w:hint="eastAsia" w:ascii="Times New Roman" w:hAnsi="Times New Roman" w:eastAsia="仿宋_GB2312" w:cs="Times New Roman"/>
          <w:i/>
          <w:sz w:val="24"/>
          <w:szCs w:val="24"/>
        </w:rPr>
        <w:t>1327695, United States.</w:t>
      </w:r>
    </w:p>
    <w:p>
      <w:pPr>
        <w:pStyle w:val="6"/>
        <w:adjustRightInd w:val="0"/>
        <w:snapToGrid w:val="0"/>
        <w:spacing w:line="480" w:lineRule="auto"/>
        <w:rPr>
          <w:rFonts w:ascii="Times New Roman" w:hAnsi="Times New Roman" w:eastAsia="仿宋_GB2312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eastAsia="仿宋_GB2312" w:cs="Times New Roman"/>
          <w:i/>
          <w:sz w:val="24"/>
          <w:szCs w:val="24"/>
          <w:vertAlign w:val="superscript"/>
        </w:rPr>
        <w:t xml:space="preserve">d </w:t>
      </w:r>
      <w:r>
        <w:rPr>
          <w:rFonts w:hint="eastAsia" w:ascii="Times New Roman" w:hAnsi="Times New Roman" w:eastAsia="仿宋_GB2312" w:cs="Times New Roman"/>
          <w:i/>
          <w:sz w:val="24"/>
          <w:szCs w:val="24"/>
        </w:rPr>
        <w:t>Department of Evironmental Science, School of Geography and Tourism, Shaanxi Normal University, Xi'an 710119</w:t>
      </w:r>
    </w:p>
    <w:p>
      <w:pPr>
        <w:widowControl/>
        <w:spacing w:line="480" w:lineRule="auto"/>
        <w:jc w:val="left"/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ascii="Times New Roman" w:hAnsi="Times New Roman" w:eastAsia="微软雅黑" w:cs="Times New Roman"/>
          <w:b/>
          <w:sz w:val="24"/>
          <w:vertAlign w:val="superscript"/>
        </w:rPr>
        <w:t xml:space="preserve">† </w:t>
      </w:r>
      <w:r>
        <w:rPr>
          <w:rFonts w:ascii="Times New Roman" w:hAnsi="Times New Roman" w:eastAsia="仿宋_GB2312" w:cs="Times New Roman"/>
          <w:sz w:val="24"/>
        </w:rPr>
        <w:t>These authors contributed equally to this work.</w:t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pStyle w:val="3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hint="eastAsia" w:ascii="Times New Roman" w:hAnsi="Times New Roman" w:cs="Times New Roman"/>
          <w:sz w:val="24"/>
          <w:szCs w:val="24"/>
        </w:rPr>
        <w:t>ext</w:t>
      </w:r>
      <w:r>
        <w:rPr>
          <w:rFonts w:ascii="Times New Roman" w:hAnsi="Times New Roman" w:cs="Times New Roman"/>
          <w:sz w:val="24"/>
          <w:szCs w:val="24"/>
        </w:rPr>
        <w:t xml:space="preserve"> S1. </w:t>
      </w:r>
      <w:bookmarkStart w:id="2" w:name="OLE_LINK2"/>
      <w:bookmarkStart w:id="3" w:name="OLE_LINK1"/>
      <w:r>
        <w:rPr>
          <w:rFonts w:ascii="Times New Roman" w:hAnsi="Times New Roman" w:cs="Times New Roman"/>
          <w:sz w:val="24"/>
          <w:szCs w:val="24"/>
        </w:rPr>
        <w:t>Extraction</w:t>
      </w:r>
      <w:bookmarkEnd w:id="2"/>
      <w:bookmarkEnd w:id="3"/>
      <w:r>
        <w:rPr>
          <w:rFonts w:ascii="Times New Roman" w:hAnsi="Times New Roman" w:cs="Times New Roman"/>
          <w:sz w:val="24"/>
          <w:szCs w:val="24"/>
        </w:rPr>
        <w:t xml:space="preserve"> experiment 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Series of liquid-liquid extraction experi</w:t>
      </w:r>
      <w:r>
        <w:rPr>
          <w:rFonts w:hint="eastAsia"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ents were carried out i) to enhance the detection </w:t>
      </w:r>
      <w:bookmarkStart w:id="4" w:name="OLE_LINK102"/>
      <w:r>
        <w:rPr>
          <w:rFonts w:ascii="Times New Roman" w:hAnsi="Times New Roman" w:cs="Times New Roman"/>
          <w:sz w:val="24"/>
          <w:szCs w:val="24"/>
        </w:rPr>
        <w:t xml:space="preserve">sensitivity </w:t>
      </w:r>
      <w:bookmarkEnd w:id="4"/>
      <w:r>
        <w:rPr>
          <w:rFonts w:ascii="Times New Roman" w:hAnsi="Times New Roman" w:cs="Times New Roman"/>
          <w:sz w:val="24"/>
          <w:szCs w:val="24"/>
        </w:rPr>
        <w:t xml:space="preserve">and decrease the LOD of HPLC, ii) to restrict hydrolysis and degradation of pyraclostrobin, due to its short half-life time (23.1-115.4 d) in solution. </w:t>
      </w:r>
      <w:r>
        <w:rPr>
          <w:rFonts w:hint="eastAsia"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4 mL of aqueous sample was collected from each treatment using a glass pipette and then extracted with 8 mL of dichloromethane. The lower layer of solution was aspirated through a 1 mL disposable medical syringe, and dissolved in 1 mL methanol after blown dry with N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(NDK200-2, Hangzhou Miou Instrument Co., Ltd). The methanol solution was filtered through a filter membrane and tested on HPLC. The recovery rate of pyraclostrobin in extraction experiments was verified at concentrations ranging from 0.05 to 1.5 mg/L.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average extraction recovery rate of pyraclostrobin at an initial concentration of 1.0 mg/L reaches 101.2% and the RSD (relative standard deviation) was 1.6% (Table S3). The average recovery rates of pyraclostrobin were 99.7% (RSD=4.1%) and 86.6% (RSD=6.2%) at initial concentration levels of 0.5 and 0.05 mg/L, respectively. These high recovery rates with low RSD values verified the high credibility of the extraction method within certain ranges of initial concentrations.</w:t>
      </w:r>
    </w:p>
    <w:p>
      <w:pPr>
        <w:pStyle w:val="3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hint="eastAsia" w:ascii="Times New Roman" w:hAnsi="Times New Roman" w:cs="Times New Roman"/>
          <w:sz w:val="24"/>
          <w:szCs w:val="24"/>
        </w:rPr>
        <w:t>ext</w:t>
      </w:r>
      <w:r>
        <w:rPr>
          <w:rFonts w:ascii="Times New Roman" w:hAnsi="Times New Roman" w:cs="Times New Roman"/>
          <w:sz w:val="24"/>
          <w:szCs w:val="24"/>
        </w:rPr>
        <w:t xml:space="preserve"> S2. Statistical analysis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adsorption rate (AR, %) and the adsorption amount of pyraclostrobin (Q, mg/g) on the micromembrane </w:t>
      </w:r>
      <w:r>
        <w:rPr>
          <w:rFonts w:hint="eastAsia"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calculated as:</w:t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m:rPr/>
          <w:rPr>
            <w:rFonts w:ascii="Cambria Math" w:hAnsi="Cambria Math" w:cs="Times New Roman"/>
            <w:sz w:val="24"/>
            <w:szCs w:val="24"/>
          </w:rPr>
          <m:t>AR=1</m:t>
        </m:r>
        <m:r>
          <m:rPr/>
          <w:rPr>
            <w:rFonts w:ascii="Cambria Math" w:hAnsi="Cambria Math" w:eastAsia="微软雅黑" w:cs="Times New Roman"/>
            <w:sz w:val="24"/>
            <w:szCs w:val="24"/>
          </w:rPr>
          <m:t>−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</m:sSub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</m:sSub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en>
        </m:f>
        <m:r>
          <m:rPr/>
          <w:rPr>
            <w:rFonts w:ascii="Cambria Math" w:hAnsi="Cambria Math" w:cs="Times New Roman"/>
            <w:sz w:val="24"/>
            <w:szCs w:val="24"/>
          </w:rPr>
          <m:t>×100</m:t>
        </m:r>
      </m:oMath>
      <w:r>
        <w:rPr>
          <w:rFonts w:ascii="Times New Roman" w:hAnsi="Times New Roman" w:cs="Times New Roman"/>
          <w:sz w:val="24"/>
          <w:szCs w:val="24"/>
        </w:rPr>
        <w:t>………………………… (1)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C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1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is the concentration of pyraclostrobin (mg/L) after the volume filtration, and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 xml:space="preserve"> C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0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is the concentration (mg/L) of the control treatment.</w:t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m:oMath>
        <m:r>
          <m:rPr/>
          <w:rPr>
            <w:rFonts w:ascii="Cambria Math" w:hAnsi="Cambria Math" w:cs="Times New Roman"/>
            <w:sz w:val="24"/>
            <w:szCs w:val="24"/>
          </w:rPr>
          <m:t>Q = 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C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2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</m:sSub>
        <m:r>
          <m:rPr/>
          <w:rPr>
            <w:rFonts w:ascii="Cambria Math" w:hAnsi="Cambria Math" w:cs="Times New Roman"/>
            <w:sz w:val="24"/>
            <w:szCs w:val="24"/>
          </w:rPr>
          <m:t>−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C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3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</m:sSub>
        <m:r>
          <m:rPr/>
          <w:rPr>
            <w:rFonts w:ascii="Cambria Math" w:hAnsi="Cambria Math" w:cs="Times New Roman"/>
            <w:sz w:val="24"/>
            <w:szCs w:val="24"/>
          </w:rPr>
          <m:t>) × V/M</m:t>
        </m:r>
      </m:oMath>
      <w:r>
        <w:rPr>
          <w:rFonts w:ascii="Times New Roman" w:hAnsi="Times New Roman" w:cs="Times New Roman"/>
          <w:sz w:val="24"/>
          <w:szCs w:val="24"/>
        </w:rPr>
        <w:t>………………………… (2)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C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2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</m:sSub>
        <m:r>
          <m:rPr/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>
        <w:rPr>
          <w:rFonts w:ascii="Times New Roman" w:hAnsi="Times New Roman" w:cs="Times New Roman"/>
          <w:sz w:val="24"/>
          <w:szCs w:val="24"/>
        </w:rPr>
        <w:t xml:space="preserve">is the initial concentration of </w:t>
      </w:r>
      <w:bookmarkStart w:id="5" w:name="_Hlk58918288"/>
      <w:r>
        <w:rPr>
          <w:rFonts w:ascii="Times New Roman" w:hAnsi="Times New Roman" w:cs="Times New Roman"/>
          <w:sz w:val="24"/>
          <w:szCs w:val="24"/>
        </w:rPr>
        <w:t>pyraclostrobin</w:t>
      </w:r>
      <w:bookmarkEnd w:id="5"/>
      <w:r>
        <w:rPr>
          <w:rFonts w:ascii="Times New Roman" w:hAnsi="Times New Roman" w:cs="Times New Roman"/>
          <w:sz w:val="24"/>
          <w:szCs w:val="24"/>
        </w:rPr>
        <w:t xml:space="preserve"> (mg/L),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C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3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is the residual concentration of pyraclostrobin (mg/L), V is the volume of the aqueous sample (L), and </w:t>
      </w:r>
      <m:oMath>
        <m:r>
          <m:rPr/>
          <w:rPr>
            <w:rFonts w:ascii="Cambria Math" w:hAnsi="Cambria Math" w:cs="Times New Roman"/>
            <w:sz w:val="24"/>
            <w:szCs w:val="24"/>
          </w:rPr>
          <m:t xml:space="preserve">M </m:t>
        </m:r>
      </m:oMath>
      <w:r>
        <w:rPr>
          <w:rFonts w:ascii="Times New Roman" w:hAnsi="Times New Roman" w:cs="Times New Roman"/>
          <w:sz w:val="24"/>
          <w:szCs w:val="24"/>
        </w:rPr>
        <w:t xml:space="preserve">is the weight of PES micromembrane (g). </w:t>
      </w:r>
    </w:p>
    <w:p>
      <w:pPr>
        <w:pStyle w:val="3"/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2.1 Adsorption kinetic models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6" w:name="OLE_LINK19"/>
      <w:r>
        <w:rPr>
          <w:rFonts w:ascii="Times New Roman" w:hAnsi="Times New Roman" w:cs="Times New Roman"/>
          <w:sz w:val="24"/>
          <w:szCs w:val="24"/>
        </w:rPr>
        <w:t xml:space="preserve">Adsorption kinetic models (pseudo-first-order kinetic model, pseudo-second-order kinetic model, Elovich model, and intra-particle diffusion model) were used to evaluate the performance of the </w:t>
      </w:r>
      <w:r>
        <w:rPr>
          <w:rFonts w:hint="eastAsia" w:ascii="Times New Roman" w:hAnsi="Times New Roman" w:cs="Times New Roman"/>
          <w:sz w:val="24"/>
          <w:szCs w:val="24"/>
        </w:rPr>
        <w:t>adsorption</w:t>
      </w:r>
      <w:r>
        <w:rPr>
          <w:rFonts w:ascii="Times New Roman" w:hAnsi="Times New Roman" w:cs="Times New Roman"/>
          <w:sz w:val="24"/>
          <w:szCs w:val="24"/>
        </w:rPr>
        <w:t xml:space="preserve"> and to investigate the adsorption mass transfer mechanisms. Non-linear forms of these four models can be expressed as follows:</w:t>
      </w:r>
    </w:p>
    <w:bookmarkEnd w:id="6"/>
    <w:p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Pseudo-first order kinetic model (PFO):</w:t>
      </w:r>
    </w:p>
    <w:p>
      <w:pPr>
        <w:spacing w:line="48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bookmarkStart w:id="7" w:name="OLE_LINK11"/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Q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</m:sSub>
        <m:r>
          <m:rPr/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q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e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1−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−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b>
                </m:s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</m:oMath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bookmarkEnd w:id="7"/>
      <w:r>
        <w:rPr>
          <w:rFonts w:ascii="Times New Roman" w:hAnsi="Times New Roman" w:cs="Times New Roman"/>
          <w:iCs/>
          <w:sz w:val="24"/>
          <w:szCs w:val="24"/>
        </w:rPr>
        <w:t>…………………………………. (3)</w:t>
      </w:r>
    </w:p>
    <w:p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Pseudo-second order kinetic model (PSO):</w:t>
      </w:r>
    </w:p>
    <w:p>
      <w:pPr>
        <w:spacing w:line="480" w:lineRule="auto"/>
        <w:ind w:firstLine="1680" w:firstLineChars="700"/>
        <w:rPr>
          <w:rFonts w:ascii="Times New Roman" w:hAnsi="Times New Roman" w:cs="Times New Roman"/>
          <w:iCs/>
          <w:sz w:val="24"/>
          <w:szCs w:val="24"/>
        </w:rPr>
      </w:pPr>
      <w:bookmarkStart w:id="8" w:name="_Hlk66795825"/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Q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b>
            </m:sSub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q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p>
            </m:sSubSup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1+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b>
            </m:sSub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q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b>
            </m:sSub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w:bookmarkEnd w:id="8"/>
            <m:ctrlPr>
              <w:rPr>
                <w:rFonts w:ascii="Cambria Math" w:hAnsi="Cambria Math" w:cs="Times New Roman"/>
                <w:sz w:val="24"/>
                <w:szCs w:val="24"/>
              </w:rPr>
            </m:ctrlPr>
          </m:den>
        </m:f>
      </m:oMath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……………………………………………. (4)</w:t>
      </w:r>
    </w:p>
    <w:p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k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1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(1/min)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k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2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(g/mg/min) are the pseudo-first-order and pseudo-second-order kinetic constants, respectively,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q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e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(mg/g) is the adsorption equilibrium,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Q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is the unit adsorption capacity of micromembrane at any time (mg/g), and t is the adsorption time (h).</w:t>
      </w:r>
    </w:p>
    <w:p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bookmarkStart w:id="9" w:name="OLE_LINK108"/>
      <w:bookmarkStart w:id="10" w:name="OLE_LINK107"/>
      <w:r>
        <w:rPr>
          <w:rFonts w:ascii="Times New Roman" w:hAnsi="Times New Roman" w:cs="Times New Roman"/>
          <w:i/>
          <w:iCs/>
          <w:sz w:val="24"/>
          <w:szCs w:val="24"/>
        </w:rPr>
        <w:t>Elovich model:</w:t>
      </w:r>
    </w:p>
    <w:bookmarkEnd w:id="9"/>
    <w:bookmarkEnd w:id="10"/>
    <w:p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bookmarkStart w:id="11" w:name="_Hlk66796072"/>
      <w:r>
        <w:rPr>
          <w:rFonts w:ascii="Times New Roman" w:hAnsi="Times New Roman" w:cs="Times New Roman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Q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m:rPr/>
              <w:rPr>
                <w:rFonts w:ascii="Cambria Math" w:hAnsi="Cambria Math" w:cs="Times New Roman"/>
                <w:sz w:val="24"/>
                <w:szCs w:val="24"/>
              </w:rPr>
              <m:t>1</m:t>
            </m: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num>
          <m:den>
            <m:r>
              <m:rPr/>
              <w:rPr>
                <w:rFonts w:ascii="Cambria Math" w:hAnsi="Cambria Math" w:cs="Times New Roman"/>
                <w:sz w:val="24"/>
                <w:szCs w:val="24"/>
              </w:rPr>
              <m:t>B</m:t>
            </m: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ln</m:t>
        </m:r>
        <m:d>
          <m:d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d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AB</m:t>
            </m: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e>
        </m:d>
        <m:r>
          <m:rPr/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m:rPr/>
              <w:rPr>
                <w:rFonts w:ascii="Cambria Math" w:hAnsi="Cambria Math" w:cs="Times New Roman"/>
                <w:sz w:val="24"/>
                <w:szCs w:val="24"/>
              </w:rPr>
              <m:t>1</m:t>
            </m: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num>
          <m:den>
            <m:r>
              <m:rPr/>
              <w:rPr>
                <w:rFonts w:ascii="Cambria Math" w:hAnsi="Cambria Math" w:cs="Times New Roman"/>
                <w:sz w:val="24"/>
                <w:szCs w:val="24"/>
              </w:rPr>
              <m:t>B</m:t>
            </m: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den>
        </m:f>
        <m:r>
          <m:rPr/>
          <w:rPr>
            <w:rFonts w:ascii="Cambria Math" w:hAnsi="Cambria Math" w:cs="Times New Roman"/>
            <w:sz w:val="24"/>
            <w:szCs w:val="24"/>
          </w:rPr>
          <m:t>ln</m:t>
        </m:r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d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e>
        </m:d>
      </m:oMath>
      <w:r>
        <w:rPr>
          <w:rFonts w:ascii="Times New Roman" w:hAnsi="Times New Roman" w:cs="Times New Roman"/>
          <w:iCs/>
          <w:sz w:val="24"/>
          <w:szCs w:val="24"/>
        </w:rPr>
        <w:t>…………………………… (5)</w:t>
      </w:r>
    </w:p>
    <w:bookmarkEnd w:id="11"/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(mg/g/min) is the initial adsorption rate constant, B (mg/g) represents the coverage rate and activation energy value of the activated adsorption site.</w:t>
      </w:r>
    </w:p>
    <w:p>
      <w:pPr>
        <w:spacing w:line="480" w:lineRule="auto"/>
        <w:ind w:left="720" w:hanging="720" w:hangingChars="300"/>
        <w:rPr>
          <w:rFonts w:ascii="Times New Roman" w:hAnsi="Times New Roman" w:cs="Times New Roman"/>
          <w:i/>
          <w:iCs/>
          <w:sz w:val="24"/>
          <w:szCs w:val="24"/>
        </w:rPr>
      </w:pPr>
      <w:bookmarkStart w:id="12" w:name="_Hlk65084326"/>
      <w:bookmarkStart w:id="13" w:name="_Hlk66796188"/>
      <w:r>
        <w:rPr>
          <w:rFonts w:ascii="Times New Roman" w:hAnsi="Times New Roman" w:cs="Times New Roman"/>
          <w:i/>
          <w:iCs/>
          <w:sz w:val="24"/>
          <w:szCs w:val="24"/>
        </w:rPr>
        <w:t>Intra-particle diffusion model</w:t>
      </w:r>
      <w:bookmarkEnd w:id="12"/>
      <w:r>
        <w:rPr>
          <w:rFonts w:ascii="Times New Roman" w:hAnsi="Times New Roman" w:cs="Times New Roman"/>
          <w:i/>
          <w:iCs/>
          <w:sz w:val="24"/>
          <w:szCs w:val="24"/>
        </w:rPr>
        <w:t xml:space="preserve"> (Weber and Morris (W&amp;M) model):</w:t>
      </w:r>
    </w:p>
    <w:bookmarkEnd w:id="13"/>
    <w:p>
      <w:pPr>
        <w:spacing w:line="480" w:lineRule="auto"/>
        <w:ind w:left="630" w:leftChars="300" w:firstLine="720" w:firstLineChars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14" w:name="_Hlk66796244"/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Q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k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i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0.5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</m:t>
        </m:r>
        <m:r>
          <m:rPr/>
          <w:rPr>
            <w:rFonts w:ascii="Cambria Math" w:hAnsi="Cambria Math" w:cs="Times New Roman"/>
            <w:sz w:val="24"/>
            <w:szCs w:val="24"/>
          </w:rPr>
          <m:t>C</m:t>
        </m:r>
      </m:oMath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</w:t>
      </w:r>
      <w:r>
        <w:rPr>
          <w:rFonts w:hint="eastAsia"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(6)</w:t>
      </w:r>
      <w:bookmarkEnd w:id="14"/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k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i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(mg/g) is the rate constant of diffusion within the particle. C is the intercept (mg/g), and its value indicates the thickness of the boundary layer of the liquid film. This equation suggests that the adsorption components are interacting in multiple stages.</w:t>
      </w:r>
    </w:p>
    <w:p>
      <w:pPr>
        <w:pStyle w:val="3"/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bookmarkStart w:id="15" w:name="OLE_LINK44"/>
      <w:bookmarkStart w:id="16" w:name="OLE_LINK43"/>
      <w:r>
        <w:rPr>
          <w:rFonts w:ascii="Times New Roman" w:hAnsi="Times New Roman" w:eastAsia="宋体" w:cs="Times New Roman"/>
          <w:sz w:val="24"/>
          <w:szCs w:val="24"/>
        </w:rPr>
        <w:t>2.2 Adsorption isotherm models</w:t>
      </w:r>
    </w:p>
    <w:bookmarkEnd w:id="15"/>
    <w:bookmarkEnd w:id="16"/>
    <w:p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Adsorption isotherm models can provide information on the mechanisms of the adsorption process. In this paper, four adsorption isotherm models (linear, Freundlich, Langmuir, and Temkin isotherm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models) were used to investigate the adsorption mechanism of pyraclostrobin on micromembrane filters.</w:t>
      </w:r>
    </w:p>
    <w:p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bookmarkStart w:id="17" w:name="_Hlk66813689"/>
      <w:r>
        <w:rPr>
          <w:rFonts w:ascii="Times New Roman" w:hAnsi="Times New Roman" w:cs="Times New Roman"/>
          <w:i/>
          <w:iCs/>
          <w:sz w:val="24"/>
          <w:szCs w:val="24"/>
        </w:rPr>
        <w:t>Linear isotherm model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(Henry</w:t>
      </w:r>
      <w:r>
        <w:rPr>
          <w:rFonts w:hint="eastAsia" w:ascii="Times New Roman" w:hAnsi="Times New Roman" w:cs="Times New Roman"/>
          <w:i/>
          <w:iCs/>
          <w:kern w:val="0"/>
          <w:sz w:val="24"/>
          <w:szCs w:val="24"/>
        </w:rPr>
        <w:t>'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s law)</w:t>
      </w:r>
      <w:bookmarkEnd w:id="17"/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>
      <w:pPr>
        <w:spacing w:line="480" w:lineRule="auto"/>
        <w:ind w:left="630" w:leftChars="300" w:firstLine="720" w:firstLineChars="300"/>
        <w:rPr>
          <w:rFonts w:ascii="Times New Roman" w:hAnsi="Times New Roman" w:cs="Times New Roman"/>
          <w:sz w:val="24"/>
          <w:szCs w:val="24"/>
        </w:rPr>
      </w:pPr>
      <w:bookmarkStart w:id="18" w:name="_Hlk66813749"/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Q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e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K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L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C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e</m:t>
            </m:r>
            <w:bookmarkEnd w:id="18"/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…………………………………………………… </w:t>
      </w:r>
      <w:r>
        <w:rPr>
          <w:rFonts w:ascii="Times New Roman" w:hAnsi="Times New Roman" w:cs="Times New Roman"/>
          <w:sz w:val="24"/>
          <w:szCs w:val="24"/>
        </w:rPr>
        <w:t>(7)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9" w:name="OLE_LINK31"/>
      <w:r>
        <w:rPr>
          <w:rFonts w:ascii="Times New Roman" w:hAnsi="Times New Roman" w:cs="Times New Roman"/>
          <w:sz w:val="24"/>
          <w:szCs w:val="24"/>
        </w:rPr>
        <w:t xml:space="preserve">where </w:t>
      </w:r>
      <m:oMath>
        <m:sSub>
          <w:bookmarkStart w:id="20" w:name="OLE_LINK34"/>
          <w:bookmarkStart w:id="21" w:name="OLE_LINK33"/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Q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e</m:t>
            </m:r>
            <w:bookmarkEnd w:id="19"/>
            <w:bookmarkEnd w:id="20"/>
            <w:bookmarkEnd w:id="2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(mg/g) and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C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e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(mg/L) represent for the adsorbed mass of adsorbate and its concentration in the solution, respectively,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K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L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(L/g) is the partition coefficient.</w:t>
      </w:r>
    </w:p>
    <w:p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bookmarkStart w:id="22" w:name="_Hlk66814307"/>
      <w:r>
        <w:rPr>
          <w:rFonts w:ascii="Times New Roman" w:hAnsi="Times New Roman" w:cs="Times New Roman"/>
          <w:i/>
          <w:iCs/>
          <w:sz w:val="24"/>
          <w:szCs w:val="24"/>
        </w:rPr>
        <w:t>Freundlich isotherm model:</w:t>
      </w:r>
    </w:p>
    <w:bookmarkEnd w:id="22"/>
    <w:p>
      <w:pPr>
        <w:spacing w:line="480" w:lineRule="auto"/>
        <w:ind w:firstLine="1320" w:firstLineChars="550"/>
        <w:rPr>
          <w:rFonts w:ascii="Times New Roman" w:hAnsi="Times New Roman" w:cs="Times New Roman"/>
          <w:sz w:val="24"/>
          <w:szCs w:val="24"/>
        </w:rPr>
      </w:pPr>
      <w:bookmarkStart w:id="23" w:name="_Hlk66814352"/>
      <w:bookmarkStart w:id="24" w:name="_Hlk66814511"/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Q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e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</m:sSub>
        <m:r>
          <m:rPr/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K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F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</m:sSub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</m:sSub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um>
              <m:den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  <w:bookmarkEnd w:id="23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en>
            </m:f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p>
        </m:sSup>
      </m:oMath>
      <w:r>
        <w:rPr>
          <w:rFonts w:ascii="Times New Roman" w:hAnsi="Times New Roman" w:cs="Times New Roman"/>
          <w:iCs/>
          <w:sz w:val="24"/>
          <w:szCs w:val="24"/>
        </w:rPr>
        <w:t xml:space="preserve"> ……………………………………………</w:t>
      </w:r>
      <w:r>
        <w:rPr>
          <w:rFonts w:hint="eastAsia" w:ascii="Times New Roman" w:hAnsi="Times New Roman" w:cs="Times New Roman"/>
          <w:iCs/>
          <w:sz w:val="24"/>
          <w:szCs w:val="24"/>
        </w:rPr>
        <w:t>.</w:t>
      </w:r>
      <w:bookmarkEnd w:id="24"/>
      <w:r>
        <w:rPr>
          <w:rFonts w:ascii="Times New Roman" w:hAnsi="Times New Roman" w:cs="Times New Roman"/>
          <w:sz w:val="24"/>
          <w:szCs w:val="24"/>
        </w:rPr>
        <w:t xml:space="preserve"> (8)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Q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e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(mg/g) and </w:t>
      </w:r>
      <m:oMath>
        <m:sSub>
          <m:sSubPr>
            <m:ctrlPr>
              <w:rPr>
                <w:rFonts w:ascii="Cambria Math" w:hAnsi="Cambria Math" w:eastAsia="宋体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kern w:val="0"/>
                <w:sz w:val="24"/>
                <w:szCs w:val="24"/>
              </w:rPr>
              <m:t>C</m:t>
            </m:r>
            <m:ctrlPr>
              <w:rPr>
                <w:rFonts w:ascii="Cambria Math" w:hAnsi="Cambria Math" w:eastAsia="宋体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kern w:val="0"/>
                <w:sz w:val="24"/>
                <w:szCs w:val="24"/>
              </w:rPr>
              <m:t>e</m:t>
            </m:r>
            <m:ctrlPr>
              <w:rPr>
                <w:rFonts w:ascii="Cambria Math" w:hAnsi="Cambria Math" w:eastAsia="宋体" w:cs="Times New Roman"/>
                <w:sz w:val="24"/>
                <w:szCs w:val="24"/>
              </w:rPr>
            </m:ctrlP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(mg/L) represent the adsorbed mass of adsorbate and its concentration in the solution, respectively,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K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F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(L/g) is the partition coefficient.</w:t>
      </w:r>
    </w:p>
    <w:p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bookmarkStart w:id="25" w:name="_Hlk58428292"/>
      <w:bookmarkStart w:id="26" w:name="_Hlk66814673"/>
      <w:r>
        <w:rPr>
          <w:rFonts w:ascii="Times New Roman" w:hAnsi="Times New Roman" w:cs="Times New Roman"/>
          <w:i/>
          <w:iCs/>
          <w:sz w:val="24"/>
          <w:szCs w:val="24"/>
        </w:rPr>
        <w:t>Langmuir isotherm model</w:t>
      </w:r>
      <w:bookmarkEnd w:id="25"/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bookmarkEnd w:id="26"/>
    <w:p>
      <w:pPr>
        <w:spacing w:line="480" w:lineRule="auto"/>
        <w:ind w:firstLine="1320" w:firstLineChars="550"/>
        <w:rPr>
          <w:rFonts w:ascii="Times New Roman" w:hAnsi="Times New Roman" w:cs="Times New Roman"/>
          <w:sz w:val="24"/>
          <w:szCs w:val="24"/>
        </w:rPr>
      </w:pPr>
      <m:oMath>
        <m:sSub>
          <w:bookmarkStart w:id="27" w:name="_Hlk66814692"/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Q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e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</m:sSub>
        <m:r>
          <m:rPr/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q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</m:sSub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um>
          <m:den>
            <m:r>
              <m:rPr/>
              <w:rPr>
                <w:rFonts w:ascii="Cambria Math" w:hAnsi="Cambria Math" w:cs="Times New Roman"/>
                <w:sz w:val="24"/>
                <w:szCs w:val="24"/>
              </w:rPr>
              <m:t>1+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</m:sSub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…………………………………………… </w:t>
      </w:r>
      <w:r>
        <w:rPr>
          <w:rFonts w:ascii="Times New Roman" w:hAnsi="Times New Roman" w:cs="Times New Roman"/>
          <w:sz w:val="24"/>
          <w:szCs w:val="24"/>
        </w:rPr>
        <w:t>(9)</w:t>
      </w:r>
    </w:p>
    <w:bookmarkEnd w:id="27"/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8" w:name="_Hlk58345449"/>
      <w:bookmarkStart w:id="29" w:name="OLE_LINK38"/>
      <w:r>
        <w:rPr>
          <w:rFonts w:ascii="Times New Roman" w:hAnsi="Times New Roman" w:cs="Times New Roman"/>
          <w:sz w:val="24"/>
          <w:szCs w:val="24"/>
        </w:rPr>
        <w:t>where</w:t>
      </w:r>
      <w:bookmarkEnd w:id="28"/>
      <w:bookmarkEnd w:id="29"/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 xml:space="preserve">K 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l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</m:sSub>
      </m:oMath>
      <w:r>
        <w:rPr>
          <w:rFonts w:ascii="Times New Roman" w:hAnsi="Times New Roman" w:cs="Times New Roman"/>
          <w:sz w:val="24"/>
          <w:szCs w:val="24"/>
        </w:rPr>
        <w:t>(L/mg) is the ratio of adsorption rate to</w:t>
      </w:r>
      <w:r>
        <w:rPr>
          <w:rFonts w:hint="eastAsia"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desorption rate,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q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m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is the adsorption capacity calculated from the Langmuir model.</w:t>
      </w:r>
    </w:p>
    <w:p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bookmarkStart w:id="30" w:name="OLE_LINK46"/>
      <w:bookmarkStart w:id="31" w:name="OLE_LINK45"/>
      <w:bookmarkStart w:id="32" w:name="_Hlk66814852"/>
      <w:r>
        <w:rPr>
          <w:rFonts w:ascii="Times New Roman" w:hAnsi="Times New Roman" w:cs="Times New Roman"/>
          <w:i/>
          <w:iCs/>
          <w:sz w:val="24"/>
          <w:szCs w:val="24"/>
        </w:rPr>
        <w:t>Temkin isotherm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model</w:t>
      </w:r>
      <w:bookmarkEnd w:id="30"/>
      <w:bookmarkEnd w:id="31"/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bookmarkEnd w:id="32"/>
    <w:p>
      <w:pPr>
        <w:spacing w:line="480" w:lineRule="auto"/>
        <w:ind w:firstLine="1320" w:firstLineChars="550"/>
        <w:rPr>
          <w:rFonts w:ascii="Times New Roman" w:hAnsi="Times New Roman" w:cs="Times New Roman"/>
          <w:sz w:val="24"/>
          <w:szCs w:val="24"/>
        </w:rPr>
      </w:pPr>
      <m:oMath>
        <m:sSub>
          <w:bookmarkStart w:id="33" w:name="_Hlk66814887"/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Q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e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</m:sSub>
        <m:r>
          <m:rPr/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/>
              <w:rPr>
                <w:rFonts w:ascii="Cambria Math" w:hAnsi="Cambria Math" w:cs="Times New Roman"/>
                <w:sz w:val="24"/>
                <w:szCs w:val="24"/>
              </w:rPr>
              <m:t>RT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um>
          <m:den>
            <m:r>
              <m:rPr/>
              <w:rPr>
                <w:rFonts w:ascii="Cambria Math" w:hAnsi="Cambria Math" w:cs="Times New Roman"/>
                <w:sz w:val="24"/>
                <w:szCs w:val="24"/>
              </w:rPr>
              <m:t>B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ln⁡</m:t>
        </m:r>
        <m:r>
          <m:rPr/>
          <w:rPr>
            <w:rFonts w:ascii="Cambria Math" w:hAnsi="Cambria Math" w:cs="Times New Roman"/>
            <w:sz w:val="24"/>
            <w:szCs w:val="24"/>
          </w:rPr>
          <m:t>(A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C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e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</m:sSub>
        <m:r>
          <m:rPr/>
          <w:rPr>
            <w:rFonts w:ascii="Cambria Math" w:hAnsi="Cambria Math" w:cs="Times New Roman"/>
            <w:sz w:val="24"/>
            <w:szCs w:val="24"/>
          </w:rPr>
          <m:t>)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…………………………………</w:t>
      </w:r>
      <w:bookmarkEnd w:id="33"/>
      <w:r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(10)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 </w:t>
      </w:r>
      <w:bookmarkStart w:id="34" w:name="_Hlk58442016"/>
      <w:r>
        <w:rPr>
          <w:rFonts w:ascii="Times New Roman" w:hAnsi="Times New Roman" w:cs="Times New Roman"/>
          <w:sz w:val="24"/>
          <w:szCs w:val="24"/>
        </w:rPr>
        <w:t>R (8.314J/mol·K) is the molar gas constant, T (K) is the absolute temperature</w:t>
      </w:r>
      <w:bookmarkEnd w:id="34"/>
      <w:r>
        <w:rPr>
          <w:rFonts w:ascii="Times New Roman" w:hAnsi="Times New Roman" w:cs="Times New Roman"/>
          <w:sz w:val="24"/>
          <w:szCs w:val="24"/>
        </w:rPr>
        <w:t>, and A (L/g) and B (J/mol) are both constants.</w:t>
      </w:r>
    </w:p>
    <w:p>
      <w:pPr>
        <w:pStyle w:val="3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2.3 </w:t>
      </w:r>
      <w:r>
        <w:rPr>
          <w:rFonts w:ascii="Times New Roman" w:hAnsi="Times New Roman" w:cs="Times New Roman"/>
          <w:sz w:val="24"/>
          <w:szCs w:val="24"/>
        </w:rPr>
        <w:t>Adsorption thermodynamics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bookmarkStart w:id="35" w:name="OLE_LINK92"/>
      <w:r>
        <w:rPr>
          <w:rFonts w:ascii="Times New Roman" w:hAnsi="Times New Roman" w:cs="Times New Roman"/>
          <w:sz w:val="24"/>
          <w:szCs w:val="24"/>
        </w:rPr>
        <w:t>thermodynamic</w:t>
      </w:r>
      <w:bookmarkEnd w:id="35"/>
      <w:r>
        <w:rPr>
          <w:rFonts w:ascii="Times New Roman" w:hAnsi="Times New Roman" w:cs="Times New Roman"/>
          <w:sz w:val="24"/>
          <w:szCs w:val="24"/>
        </w:rPr>
        <w:t xml:space="preserve"> calculation was performed by using the Van</w:t>
      </w:r>
      <w:r>
        <w:rPr>
          <w:rFonts w:hint="eastAsia" w:ascii="Times New Roman" w:hAnsi="Times New Roman" w:cs="Times New Roman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>t Hoff equation, as follows:</w:t>
      </w:r>
    </w:p>
    <w:p>
      <w:pPr>
        <w:spacing w:line="480" w:lineRule="auto"/>
        <w:ind w:firstLine="1440" w:firstLineChars="600"/>
        <w:rPr>
          <w:rFonts w:ascii="Times New Roman" w:hAnsi="Times New Roman" w:cs="Times New Roman"/>
          <w:iCs/>
          <w:sz w:val="24"/>
          <w:szCs w:val="24"/>
        </w:rPr>
      </w:pPr>
      <m:oMath>
        <m:r>
          <m:rPr/>
          <w:rPr>
            <w:rFonts w:ascii="Cambria Math" w:hAnsi="Cambria Math" w:cs="Times New Roman"/>
            <w:sz w:val="24"/>
            <w:szCs w:val="24"/>
          </w:rPr>
          <m:t>∆G=−RTLnK</m:t>
        </m:r>
      </m:oMath>
      <w:r>
        <w:rPr>
          <w:rFonts w:ascii="Times New Roman" w:hAnsi="Times New Roman" w:cs="Times New Roman"/>
          <w:iCs/>
          <w:sz w:val="24"/>
          <w:szCs w:val="24"/>
        </w:rPr>
        <w:t xml:space="preserve"> ………………………………………. (11)</w:t>
      </w:r>
    </w:p>
    <w:p>
      <w:pPr>
        <w:spacing w:line="480" w:lineRule="auto"/>
        <w:ind w:firstLine="1440" w:firstLineChars="600"/>
        <w:rPr>
          <w:rFonts w:ascii="Times New Roman" w:hAnsi="Times New Roman" w:cs="Times New Roman"/>
          <w:sz w:val="24"/>
          <w:szCs w:val="24"/>
        </w:rPr>
      </w:pPr>
      <m:oMath>
        <w:bookmarkStart w:id="36" w:name="OLE_LINK13"/>
        <w:bookmarkStart w:id="37" w:name="OLE_LINK14"/>
        <m:r>
          <m:rPr/>
          <w:rPr>
            <w:rFonts w:ascii="Cambria Math" w:hAnsi="Cambria Math" w:cs="Times New Roman"/>
            <w:sz w:val="24"/>
            <w:szCs w:val="24"/>
          </w:rPr>
          <m:t>LnK</m:t>
        </m:r>
        <w:bookmarkEnd w:id="36"/>
        <w:bookmarkEnd w:id="37"/>
        <m:r>
          <m:rPr/>
          <w:rPr>
            <w:rFonts w:ascii="Cambria Math" w:hAnsi="Cambria Math" w:cs="Times New Roman"/>
            <w:sz w:val="24"/>
            <w:szCs w:val="24"/>
          </w:rPr>
          <m:t>=−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/>
              <w:rPr>
                <w:rFonts w:ascii="Cambria Math" w:hAnsi="Cambria Math" w:cs="Times New Roman"/>
                <w:sz w:val="24"/>
                <w:szCs w:val="24"/>
              </w:rPr>
              <m:t>∆H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um>
          <m:den>
            <m:r>
              <m:rPr/>
              <w:rPr>
                <w:rFonts w:ascii="Cambria Math" w:hAnsi="Cambria Math" w:cs="Times New Roman"/>
                <w:sz w:val="24"/>
                <w:szCs w:val="24"/>
              </w:rPr>
              <m:t>RT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en>
        </m:f>
        <m:r>
          <m:rPr/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/>
              <w:rPr>
                <w:rFonts w:ascii="Cambria Math" w:hAnsi="Cambria Math" w:cs="Times New Roman"/>
                <w:sz w:val="24"/>
                <w:szCs w:val="24"/>
              </w:rPr>
              <m:t>∆S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um>
          <m:den>
            <m:r>
              <m:rPr/>
              <w:rPr>
                <w:rFonts w:ascii="Cambria Math" w:hAnsi="Cambria Math" w:cs="Times New Roman"/>
                <w:sz w:val="24"/>
                <w:szCs w:val="24"/>
              </w:rPr>
              <m:t>R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en>
        </m:f>
      </m:oMath>
      <w:r>
        <w:rPr>
          <w:rFonts w:ascii="Times New Roman" w:hAnsi="Times New Roman" w:cs="Times New Roman"/>
          <w:sz w:val="24"/>
          <w:szCs w:val="24"/>
        </w:rPr>
        <w:t>………………………………………. (12)</w:t>
      </w:r>
    </w:p>
    <w:p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K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d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stands for the adsorption equilibrium constant or distribution, R (8.314J/(mol∙K)) for the molar gas constant, T (K) for the absolute temperature, Δ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 for the Gibbs free energy change (J/mol), Δ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H</w:t>
      </w:r>
      <w:r>
        <w:rPr>
          <w:rFonts w:ascii="Times New Roman" w:hAnsi="Times New Roman" w:cs="Times New Roman"/>
          <w:kern w:val="0"/>
          <w:sz w:val="24"/>
          <w:szCs w:val="24"/>
        </w:rPr>
        <w:t> for the enthalpy change (J/mol), and Δ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kern w:val="0"/>
          <w:sz w:val="24"/>
          <w:szCs w:val="24"/>
        </w:rPr>
        <w:t> for the entropy change (J/(mol·K)).</w:t>
      </w:r>
    </w:p>
    <w:p>
      <w:pPr>
        <w:spacing w:line="48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Table S1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The physicochemical characteristics of pyraclostrobin</w:t>
      </w:r>
    </w:p>
    <w:tbl>
      <w:tblPr>
        <w:tblStyle w:val="12"/>
        <w:tblW w:w="0" w:type="auto"/>
        <w:tblInd w:w="129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83"/>
        <w:gridCol w:w="419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983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Parameter</w:t>
            </w:r>
          </w:p>
        </w:tc>
        <w:tc>
          <w:tcPr>
            <w:tcW w:w="4194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Pyraclostrobin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983" w:type="dxa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Molecular formula</w:t>
            </w:r>
          </w:p>
        </w:tc>
        <w:tc>
          <w:tcPr>
            <w:tcW w:w="4194" w:type="dxa"/>
            <w:tcBorders>
              <w:top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  <w14:textFill>
                  <w14:solidFill>
                    <w14:schemeClr w14:val="tx1"/>
                  </w14:solidFill>
                </w14:textFill>
              </w:rPr>
              <w:t>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bscript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3983" w:type="dxa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Molecular weight (g·mol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419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387.817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3983" w:type="dxa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Octanol/water partition coef</w:t>
            </w:r>
            <w:r>
              <w:rPr>
                <w:rFonts w:ascii="Times New Roman" w:hAnsi="Times New Roman" w:eastAsia="MS Mincho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cient</w:t>
            </w:r>
          </w:p>
        </w:tc>
        <w:tc>
          <w:tcPr>
            <w:tcW w:w="419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3983" w:type="dxa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K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(25 °C)</w:t>
            </w:r>
          </w:p>
        </w:tc>
        <w:tc>
          <w:tcPr>
            <w:tcW w:w="419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No dissociation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DBE7E5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DBE7E5"/>
                <w14:textFill>
                  <w14:solidFill>
                    <w14:schemeClr w14:val="tx1"/>
                  </w14:solidFill>
                </w14:textFill>
              </w:rPr>
              <w:instrText xml:space="preserve"> ADDIN ZOTERO_ITEM CSL_CITATION {"citationID":"a2k0ohnqsd1","properties":{"formattedCitation":"\\super 5\\nosupersub{}","plainCitation":"5","noteIndex":0},"citationItems":[{"id":"xqXi0xvb/vLRHOnkl","uris":["http://zotero.org/users/6770863/items/PFXL32ZJ"],"uri":["http://zotero.org/users/6770863/items/PFXL32ZJ"],"itemData":{"id":549,"type":"webpage","title":"Pyraclostrobin (Ref: BAS 500F)","URL":"https://sitem.herts.ac.uk/aeru/iupac/Reports/564.htm","accessed":{"date-parts":[["2021",2,27]]}}}],"schema":"https://github.com/citation-style-language/schema/raw/master/csl-citation.json"} </w:instrTex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DBE7E5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DBE7E5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983" w:type="dxa"/>
            <w:tcBorders>
              <w:bottom w:val="single" w:color="auto" w:sz="12" w:space="0"/>
            </w:tcBorders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Solubility in water</w:t>
            </w:r>
          </w:p>
        </w:tc>
        <w:tc>
          <w:tcPr>
            <w:tcW w:w="4194" w:type="dxa"/>
            <w:tcBorders>
              <w:bottom w:val="single" w:color="auto" w:sz="12" w:space="0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1.9 mg/L</w:t>
            </w:r>
          </w:p>
        </w:tc>
      </w:tr>
    </w:tbl>
    <w:p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>
      <w:pPr>
        <w:spacing w:line="48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Table S2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The physicochemical characteristics of micromembranes</w:t>
      </w:r>
    </w:p>
    <w:tbl>
      <w:tblPr>
        <w:tblStyle w:val="29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2408"/>
        <w:gridCol w:w="262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material</w:t>
            </w:r>
          </w:p>
        </w:tc>
        <w:tc>
          <w:tcPr>
            <w:tcW w:w="2408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PES</w:t>
            </w:r>
          </w:p>
        </w:tc>
        <w:tc>
          <w:tcPr>
            <w:tcW w:w="2627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Nylon 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Wettability</w:t>
            </w:r>
          </w:p>
        </w:tc>
        <w:tc>
          <w:tcPr>
            <w:tcW w:w="2408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Hydrophobic</w:t>
            </w:r>
          </w:p>
        </w:tc>
        <w:tc>
          <w:tcPr>
            <w:tcW w:w="2627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Hydrophilic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Total pore area (m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/g)</w:t>
            </w:r>
          </w:p>
        </w:tc>
        <w:tc>
          <w:tcPr>
            <w:tcW w:w="2408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10.774</w:t>
            </w:r>
          </w:p>
        </w:tc>
        <w:tc>
          <w:tcPr>
            <w:tcW w:w="2627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4.875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Housing</w:t>
            </w:r>
          </w:p>
        </w:tc>
        <w:tc>
          <w:tcPr>
            <w:tcW w:w="5035" w:type="dxa"/>
            <w:gridSpan w:val="2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polypropylene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Capacity (mL)</w:t>
            </w:r>
          </w:p>
        </w:tc>
        <w:tc>
          <w:tcPr>
            <w:tcW w:w="2408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627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Diameter (mm)</w:t>
            </w:r>
          </w:p>
        </w:tc>
        <w:tc>
          <w:tcPr>
            <w:tcW w:w="2408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627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Effective filtration area (cm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408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0.7</w:t>
            </w:r>
          </w:p>
        </w:tc>
        <w:tc>
          <w:tcPr>
            <w:tcW w:w="2627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1" w:type="dxa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Pore size (µm)</w:t>
            </w:r>
          </w:p>
        </w:tc>
        <w:tc>
          <w:tcPr>
            <w:tcW w:w="2408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0.22</w:t>
            </w:r>
          </w:p>
        </w:tc>
        <w:tc>
          <w:tcPr>
            <w:tcW w:w="2627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0.22</w:t>
            </w:r>
          </w:p>
        </w:tc>
      </w:tr>
    </w:tbl>
    <w:p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>
      <w:pPr>
        <w:spacing w:line="480" w:lineRule="auto"/>
        <w:ind w:left="360"/>
        <w:outlineLvl w:val="1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Table S3</w:t>
      </w:r>
      <w:bookmarkStart w:id="38" w:name="OLE_LINK24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Recovery rates of the extraction test with different initial concentrations</w:t>
      </w:r>
      <w:bookmarkEnd w:id="38"/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</w:p>
    <w:tbl>
      <w:tblPr>
        <w:tblStyle w:val="11"/>
        <w:tblW w:w="8657" w:type="dxa"/>
        <w:tblInd w:w="84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14"/>
        <w:gridCol w:w="2291"/>
        <w:gridCol w:w="2313"/>
        <w:gridCol w:w="163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2414" w:type="dxa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Initial </w:t>
            </w:r>
          </w:p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concentration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mg/L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291" w:type="dxa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Average</w:t>
            </w:r>
          </w:p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recovery rate (%)</w:t>
            </w:r>
          </w:p>
        </w:tc>
        <w:tc>
          <w:tcPr>
            <w:tcW w:w="2313" w:type="dxa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Standard deviation (SD)</w:t>
            </w:r>
          </w:p>
        </w:tc>
        <w:tc>
          <w:tcPr>
            <w:tcW w:w="1639" w:type="dxa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RSD (%)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2414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1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3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9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101.2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1.6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99.7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4.1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241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  <w:tc>
          <w:tcPr>
            <w:tcW w:w="229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86.6</w:t>
            </w:r>
          </w:p>
        </w:tc>
        <w:tc>
          <w:tcPr>
            <w:tcW w:w="231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6.2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7.1</w:t>
            </w:r>
          </w:p>
        </w:tc>
      </w:tr>
    </w:tbl>
    <w:p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>
      <w:pPr>
        <w:spacing w:line="480" w:lineRule="auto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Table S4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Parameters of different isotherm models for pyraclostrobin adsorption onto PES and Nylon6 micromembranes in the</w:t>
      </w:r>
      <w:bookmarkStart w:id="39" w:name="OLE_LINK53"/>
      <w:bookmarkStart w:id="40" w:name="OLE_LINK52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temperature range of 288.15–308.15 K</w:t>
      </w:r>
      <w:bookmarkEnd w:id="39"/>
      <w:bookmarkEnd w:id="40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(pH=6.92).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7"/>
        <w:gridCol w:w="1666"/>
        <w:gridCol w:w="1259"/>
        <w:gridCol w:w="1179"/>
        <w:gridCol w:w="1179"/>
        <w:gridCol w:w="120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7" w:type="dxa"/>
            <w:vMerge w:val="restart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Micromembrane</w:t>
            </w:r>
          </w:p>
        </w:tc>
        <w:tc>
          <w:tcPr>
            <w:tcW w:w="1666" w:type="dxa"/>
            <w:vMerge w:val="restart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Model</w:t>
            </w:r>
          </w:p>
        </w:tc>
        <w:tc>
          <w:tcPr>
            <w:tcW w:w="1259" w:type="dxa"/>
            <w:vMerge w:val="restart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Paramters</w:t>
            </w:r>
          </w:p>
        </w:tc>
        <w:tc>
          <w:tcPr>
            <w:tcW w:w="3564" w:type="dxa"/>
            <w:gridSpan w:val="3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Temperature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7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6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288.15 K</w:t>
            </w:r>
          </w:p>
        </w:tc>
        <w:tc>
          <w:tcPr>
            <w:tcW w:w="117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298.15 K</w:t>
            </w:r>
          </w:p>
        </w:tc>
        <w:tc>
          <w:tcPr>
            <w:tcW w:w="120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308.15 K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7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PES</w:t>
            </w:r>
          </w:p>
        </w:tc>
        <w:tc>
          <w:tcPr>
            <w:tcW w:w="1666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Linear isotherm</w:t>
            </w:r>
          </w:p>
        </w:tc>
        <w:tc>
          <w:tcPr>
            <w:tcW w:w="1259" w:type="dxa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pPr>
                  <m:e>
                    <m:r>
                      <m:rPr/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R</m:t>
                    </m: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p>
                </m:sSup>
              </m:oMath>
            </m:oMathPara>
          </w:p>
        </w:tc>
        <w:tc>
          <w:tcPr>
            <w:tcW w:w="1179" w:type="dxa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0.999</w:t>
            </w:r>
          </w:p>
        </w:tc>
        <w:tc>
          <w:tcPr>
            <w:tcW w:w="1179" w:type="dxa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0.970</w:t>
            </w:r>
          </w:p>
        </w:tc>
        <w:tc>
          <w:tcPr>
            <w:tcW w:w="1206" w:type="dxa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0.972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7" w:type="dxa"/>
            <w:vMerge w:val="continue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6" w:type="dxa"/>
            <w:vMerge w:val="continue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K</m:t>
                    </m: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l</m:t>
                    </m: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b>
                </m:sSub>
              </m:oMath>
            </m:oMathPara>
          </w:p>
        </w:tc>
        <w:tc>
          <w:tcPr>
            <w:tcW w:w="117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5.381</w:t>
            </w:r>
          </w:p>
        </w:tc>
        <w:tc>
          <w:tcPr>
            <w:tcW w:w="117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5.170</w:t>
            </w:r>
          </w:p>
        </w:tc>
        <w:tc>
          <w:tcPr>
            <w:tcW w:w="1206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5.856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7" w:type="dxa"/>
            <w:vMerge w:val="continue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6" w:type="dxa"/>
            <w:vMerge w:val="restart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Freundlich isotherm</w:t>
            </w:r>
          </w:p>
        </w:tc>
        <w:tc>
          <w:tcPr>
            <w:tcW w:w="125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pPr>
                  <m:e>
                    <m:r>
                      <m:rPr/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R</m:t>
                    </m: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p>
                </m:sSup>
              </m:oMath>
            </m:oMathPara>
          </w:p>
        </w:tc>
        <w:tc>
          <w:tcPr>
            <w:tcW w:w="117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0.992</w:t>
            </w:r>
          </w:p>
        </w:tc>
        <w:tc>
          <w:tcPr>
            <w:tcW w:w="117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0.957</w:t>
            </w:r>
          </w:p>
        </w:tc>
        <w:tc>
          <w:tcPr>
            <w:tcW w:w="1206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0.946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7" w:type="dxa"/>
            <w:vMerge w:val="continue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6" w:type="dxa"/>
            <w:vMerge w:val="continue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K</m:t>
                    </m: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F</m:t>
                    </m: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b>
                </m:sSub>
              </m:oMath>
            </m:oMathPara>
          </w:p>
        </w:tc>
        <w:tc>
          <w:tcPr>
            <w:tcW w:w="117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4.034</w:t>
            </w:r>
          </w:p>
        </w:tc>
        <w:tc>
          <w:tcPr>
            <w:tcW w:w="117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3.499</w:t>
            </w:r>
          </w:p>
        </w:tc>
        <w:tc>
          <w:tcPr>
            <w:tcW w:w="1206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4.046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7" w:type="dxa"/>
            <w:vMerge w:val="continue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6" w:type="dxa"/>
            <w:vMerge w:val="continue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m:oMathPara>
              <m:oMath>
                <m:r>
                  <m:rPr/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14:textFill>
                      <w14:solidFill>
                        <w14:schemeClr w14:val="tx1"/>
                      </w14:solidFill>
                    </w14:textFill>
                  </w:rPr>
                  <m:t>n</m:t>
                </m:r>
              </m:oMath>
            </m:oMathPara>
          </w:p>
        </w:tc>
        <w:tc>
          <w:tcPr>
            <w:tcW w:w="117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1.514</w:t>
            </w:r>
          </w:p>
        </w:tc>
        <w:tc>
          <w:tcPr>
            <w:tcW w:w="117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1.707</w:t>
            </w:r>
          </w:p>
        </w:tc>
        <w:tc>
          <w:tcPr>
            <w:tcW w:w="1206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1.495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7" w:type="dxa"/>
            <w:vMerge w:val="continue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6" w:type="dxa"/>
            <w:vMerge w:val="restart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Langmuir isotherm</w:t>
            </w:r>
          </w:p>
        </w:tc>
        <w:tc>
          <w:tcPr>
            <w:tcW w:w="125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pPr>
                  <m:e>
                    <m:r>
                      <m:rPr/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R</m:t>
                    </m: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p>
                </m:sSup>
              </m:oMath>
            </m:oMathPara>
          </w:p>
        </w:tc>
        <w:tc>
          <w:tcPr>
            <w:tcW w:w="117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0.985</w:t>
            </w:r>
          </w:p>
        </w:tc>
        <w:tc>
          <w:tcPr>
            <w:tcW w:w="117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0.948</w:t>
            </w:r>
          </w:p>
        </w:tc>
        <w:tc>
          <w:tcPr>
            <w:tcW w:w="1206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0.967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7" w:type="dxa"/>
            <w:vMerge w:val="continue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6" w:type="dxa"/>
            <w:vMerge w:val="continue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K</m:t>
                    </m: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L</m:t>
                    </m: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b>
                </m:sSub>
              </m:oMath>
            </m:oMathPara>
          </w:p>
        </w:tc>
        <w:tc>
          <w:tcPr>
            <w:tcW w:w="117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1.515</w:t>
            </w:r>
          </w:p>
        </w:tc>
        <w:tc>
          <w:tcPr>
            <w:tcW w:w="117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2.121</w:t>
            </w:r>
          </w:p>
        </w:tc>
        <w:tc>
          <w:tcPr>
            <w:tcW w:w="1206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1.814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7" w:type="dxa"/>
            <w:vMerge w:val="continue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6" w:type="dxa"/>
            <w:vMerge w:val="continue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q</m:t>
                    </m: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m</m:t>
                    </m: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b>
                </m:sSub>
              </m:oMath>
            </m:oMathPara>
          </w:p>
        </w:tc>
        <w:tc>
          <w:tcPr>
            <w:tcW w:w="117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5.867</w:t>
            </w:r>
          </w:p>
        </w:tc>
        <w:tc>
          <w:tcPr>
            <w:tcW w:w="117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4.529</w:t>
            </w:r>
          </w:p>
        </w:tc>
        <w:tc>
          <w:tcPr>
            <w:tcW w:w="1206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5.251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7" w:type="dxa"/>
            <w:vMerge w:val="restart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Nylon 6</w:t>
            </w:r>
          </w:p>
        </w:tc>
        <w:tc>
          <w:tcPr>
            <w:tcW w:w="1666" w:type="dxa"/>
            <w:vMerge w:val="restart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Linear isotherm</w:t>
            </w:r>
          </w:p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Freundlich isotherm</w:t>
            </w:r>
          </w:p>
        </w:tc>
        <w:tc>
          <w:tcPr>
            <w:tcW w:w="125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pPr>
                  <m:e>
                    <m:r>
                      <m:rPr/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R</m:t>
                    </m: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p>
                </m:sSup>
              </m:oMath>
            </m:oMathPara>
          </w:p>
        </w:tc>
        <w:tc>
          <w:tcPr>
            <w:tcW w:w="117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0.996</w:t>
            </w:r>
          </w:p>
        </w:tc>
        <w:tc>
          <w:tcPr>
            <w:tcW w:w="117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06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0.982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7" w:type="dxa"/>
            <w:vMerge w:val="continue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6" w:type="dxa"/>
            <w:vMerge w:val="continue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K</m:t>
                    </m: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l</m:t>
                    </m: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b>
                </m:sSub>
              </m:oMath>
            </m:oMathPara>
          </w:p>
        </w:tc>
        <w:tc>
          <w:tcPr>
            <w:tcW w:w="117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1.197</w:t>
            </w:r>
          </w:p>
        </w:tc>
        <w:tc>
          <w:tcPr>
            <w:tcW w:w="117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1.029</w:t>
            </w:r>
          </w:p>
        </w:tc>
        <w:tc>
          <w:tcPr>
            <w:tcW w:w="1206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0.733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7" w:type="dxa"/>
            <w:vMerge w:val="continue"/>
            <w:vAlign w:val="center"/>
          </w:tcPr>
          <w:p>
            <w:pPr>
              <w:tabs>
                <w:tab w:val="left" w:pos="277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6" w:type="dxa"/>
            <w:vMerge w:val="continue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pPr>
                  <m:e>
                    <m:r>
                      <m:rPr/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R</m:t>
                    </m: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p>
                </m:sSup>
              </m:oMath>
            </m:oMathPara>
          </w:p>
        </w:tc>
        <w:tc>
          <w:tcPr>
            <w:tcW w:w="117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0.942</w:t>
            </w:r>
          </w:p>
        </w:tc>
        <w:tc>
          <w:tcPr>
            <w:tcW w:w="117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0.999</w:t>
            </w:r>
          </w:p>
        </w:tc>
        <w:tc>
          <w:tcPr>
            <w:tcW w:w="1206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0.901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7" w:type="dxa"/>
            <w:vMerge w:val="continue"/>
            <w:vAlign w:val="center"/>
          </w:tcPr>
          <w:p>
            <w:pPr>
              <w:tabs>
                <w:tab w:val="left" w:pos="277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6" w:type="dxa"/>
            <w:vMerge w:val="continue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K</m:t>
                    </m: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F</m:t>
                    </m: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b>
                </m:sSub>
              </m:oMath>
            </m:oMathPara>
          </w:p>
        </w:tc>
        <w:tc>
          <w:tcPr>
            <w:tcW w:w="117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1.072</w:t>
            </w:r>
          </w:p>
        </w:tc>
        <w:tc>
          <w:tcPr>
            <w:tcW w:w="117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1.011</w:t>
            </w:r>
          </w:p>
        </w:tc>
        <w:tc>
          <w:tcPr>
            <w:tcW w:w="1206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7" w:type="dxa"/>
            <w:vMerge w:val="continue"/>
            <w:vAlign w:val="center"/>
          </w:tcPr>
          <w:p>
            <w:pPr>
              <w:tabs>
                <w:tab w:val="left" w:pos="277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6" w:type="dxa"/>
            <w:vMerge w:val="continue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m:oMathPara>
              <m:oMath>
                <m:r>
                  <m:rPr/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14:textFill>
                      <w14:solidFill>
                        <w14:schemeClr w14:val="tx1"/>
                      </w14:solidFill>
                    </w14:textFill>
                  </w:rPr>
                  <m:t>n</m:t>
                </m:r>
              </m:oMath>
            </m:oMathPara>
          </w:p>
        </w:tc>
        <w:tc>
          <w:tcPr>
            <w:tcW w:w="117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1.182</w:t>
            </w:r>
          </w:p>
        </w:tc>
        <w:tc>
          <w:tcPr>
            <w:tcW w:w="117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1.019</w:t>
            </w:r>
          </w:p>
        </w:tc>
        <w:tc>
          <w:tcPr>
            <w:tcW w:w="1206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0.832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7" w:type="dxa"/>
            <w:vMerge w:val="continue"/>
            <w:vAlign w:val="center"/>
          </w:tcPr>
          <w:p>
            <w:pPr>
              <w:tabs>
                <w:tab w:val="left" w:pos="277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6" w:type="dxa"/>
            <w:vMerge w:val="restart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Langmuir isotherm</w:t>
            </w:r>
          </w:p>
        </w:tc>
        <w:tc>
          <w:tcPr>
            <w:tcW w:w="125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pPr>
                  <m:e>
                    <m:r>
                      <m:rPr/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R</m:t>
                    </m: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p>
                </m:sSup>
              </m:oMath>
            </m:oMathPara>
          </w:p>
        </w:tc>
        <w:tc>
          <w:tcPr>
            <w:tcW w:w="117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0.947</w:t>
            </w:r>
          </w:p>
        </w:tc>
        <w:tc>
          <w:tcPr>
            <w:tcW w:w="117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0.999</w:t>
            </w:r>
          </w:p>
        </w:tc>
        <w:tc>
          <w:tcPr>
            <w:tcW w:w="1206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-5.927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7" w:type="dxa"/>
            <w:vMerge w:val="continue"/>
            <w:vAlign w:val="center"/>
          </w:tcPr>
          <w:p>
            <w:pPr>
              <w:tabs>
                <w:tab w:val="left" w:pos="277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6" w:type="dxa"/>
            <w:vMerge w:val="continue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K</m:t>
                    </m: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L</m:t>
                    </m: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b>
                </m:sSub>
              </m:oMath>
            </m:oMathPara>
          </w:p>
        </w:tc>
        <w:tc>
          <w:tcPr>
            <w:tcW w:w="117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0.400</w:t>
            </w:r>
          </w:p>
        </w:tc>
        <w:tc>
          <w:tcPr>
            <w:tcW w:w="1179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0.041</w:t>
            </w:r>
          </w:p>
        </w:tc>
        <w:tc>
          <w:tcPr>
            <w:tcW w:w="1206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8.673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7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6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tcBorders>
              <w:bottom w:val="single" w:color="auto" w:sz="12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q</m:t>
                    </m: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m</m:t>
                    </m: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b>
                </m:sSub>
              </m:oMath>
            </m:oMathPara>
          </w:p>
        </w:tc>
        <w:tc>
          <w:tcPr>
            <w:tcW w:w="1179" w:type="dxa"/>
            <w:tcBorders>
              <w:bottom w:val="single" w:color="auto" w:sz="12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3.596</w:t>
            </w:r>
          </w:p>
        </w:tc>
        <w:tc>
          <w:tcPr>
            <w:tcW w:w="1179" w:type="dxa"/>
            <w:tcBorders>
              <w:bottom w:val="single" w:color="auto" w:sz="12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25.79</w:t>
            </w:r>
          </w:p>
        </w:tc>
        <w:tc>
          <w:tcPr>
            <w:tcW w:w="1206" w:type="dxa"/>
            <w:tcBorders>
              <w:bottom w:val="single" w:color="auto" w:sz="12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10082.5</w:t>
            </w:r>
          </w:p>
        </w:tc>
      </w:tr>
    </w:tbl>
    <w:p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</w:pPr>
    </w:p>
    <w:p>
      <w:pPr>
        <w:rPr>
          <w:rFonts w:ascii="Times New Roman" w:hAnsi="Times New Roman" w:cs="Times New Roman"/>
          <w:b/>
          <w:sz w:val="24"/>
        </w:rPr>
      </w:pPr>
    </w:p>
    <w:p>
      <w:pPr>
        <w:rPr>
          <w:rFonts w:hint="default" w:ascii="Times New Roman" w:hAnsi="Times New Roman" w:cs="Times New Roman" w:eastAsiaTheme="minorEastAsia"/>
          <w:sz w:val="24"/>
          <w:lang w:val="en-US" w:eastAsia="zh-CN"/>
        </w:rPr>
      </w:pPr>
      <w:r>
        <w:rPr>
          <w:rFonts w:ascii="Times New Roman" w:hAnsi="Times New Roman" w:cs="Times New Roman"/>
          <w:b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S5</w:t>
      </w:r>
      <w:r>
        <w:rPr>
          <w:rFonts w:ascii="Times New Roman" w:hAnsi="Times New Roman" w:cs="Times New Roman"/>
          <w:sz w:val="24"/>
        </w:rPr>
        <w:t xml:space="preserve"> Adsorption thermodynamics of pyroclostrobin on PES and Nylon 6 micromembranes and related parameters.</w:t>
      </w:r>
    </w:p>
    <w:tbl>
      <w:tblPr>
        <w:tblStyle w:val="12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6"/>
        <w:gridCol w:w="1667"/>
        <w:gridCol w:w="1667"/>
        <w:gridCol w:w="1562"/>
        <w:gridCol w:w="177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667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Micromembrane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 (K)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m:oMath>
              <m:r>
                <m:rPr/>
                <w:rPr>
                  <w:rFonts w:ascii="Cambria Math" w:hAnsi="Cambria Math" w:cs="Times New Roman"/>
                  <w:sz w:val="24"/>
                </w:rPr>
                <m:t>∆G</m:t>
              </m:r>
            </m:oMath>
            <w:r>
              <w:rPr>
                <w:rFonts w:ascii="Times New Roman" w:hAnsi="Times New Roman" w:cs="Times New Roman"/>
                <w:sz w:val="24"/>
              </w:rPr>
              <w:t>（kJ/mol）</w:t>
            </w:r>
          </w:p>
        </w:tc>
        <w:tc>
          <w:tcPr>
            <w:tcW w:w="1562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∆</m:t>
              </m:r>
              <m:r>
                <m:rPr/>
                <w:rPr>
                  <w:rFonts w:ascii="Cambria Math" w:hAnsi="Cambria Math" w:cs="Times New Roman"/>
                  <w:sz w:val="24"/>
                </w:rPr>
                <m:t>H</m:t>
              </m:r>
            </m:oMath>
            <w:r>
              <w:rPr>
                <w:rFonts w:ascii="Times New Roman" w:hAnsi="Times New Roman" w:cs="Times New Roman"/>
                <w:sz w:val="24"/>
              </w:rPr>
              <w:t>（kJ/mol）</w:t>
            </w:r>
          </w:p>
        </w:tc>
        <w:tc>
          <w:tcPr>
            <w:tcW w:w="1772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∆</m:t>
              </m:r>
              <m:r>
                <m:rPr/>
                <w:rPr>
                  <w:rFonts w:ascii="Cambria Math" w:hAnsi="Cambria Math" w:cs="Times New Roman"/>
                  <w:sz w:val="24"/>
                </w:rPr>
                <m:t>S</m:t>
              </m:r>
            </m:oMath>
            <w:r>
              <w:rPr>
                <w:rFonts w:ascii="Times New Roman" w:hAnsi="Times New Roman" w:cs="Times New Roman"/>
                <w:sz w:val="24"/>
              </w:rPr>
              <w:t>(J/(mol*K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-1)</w:t>
            </w:r>
            <w:r>
              <w:rPr>
                <w:rFonts w:hint="eastAsia" w:ascii="Times New Roman" w:hAnsi="Times New Roman" w:cs="Times New Roman"/>
                <w:sz w:val="24"/>
                <w:vertAlign w:val="superscript"/>
                <w:lang w:eastAsia="zh-CN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667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PES</w:t>
            </w:r>
          </w:p>
        </w:tc>
        <w:tc>
          <w:tcPr>
            <w:tcW w:w="1667" w:type="dxa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288.15</w:t>
            </w:r>
          </w:p>
        </w:tc>
        <w:tc>
          <w:tcPr>
            <w:tcW w:w="1667" w:type="dxa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-20.58</w:t>
            </w:r>
          </w:p>
        </w:tc>
        <w:tc>
          <w:tcPr>
            <w:tcW w:w="1562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3.05</w:t>
            </w:r>
          </w:p>
        </w:tc>
        <w:tc>
          <w:tcPr>
            <w:tcW w:w="1772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81.79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667" w:type="dxa"/>
            <w:vMerge w:val="continue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7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298.15</w:t>
            </w:r>
          </w:p>
        </w:tc>
        <w:tc>
          <w:tcPr>
            <w:tcW w:w="1667" w:type="dxa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-21.20</w:t>
            </w:r>
          </w:p>
        </w:tc>
        <w:tc>
          <w:tcPr>
            <w:tcW w:w="1562" w:type="dxa"/>
            <w:vMerge w:val="continue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2" w:type="dxa"/>
            <w:vMerge w:val="continue"/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667" w:type="dxa"/>
            <w:vMerge w:val="continue"/>
            <w:tcBorders>
              <w:bottom w:val="nil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7" w:type="dxa"/>
            <w:tcBorders>
              <w:bottom w:val="nil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308.15</w:t>
            </w:r>
          </w:p>
        </w:tc>
        <w:tc>
          <w:tcPr>
            <w:tcW w:w="1667" w:type="dxa"/>
            <w:tcBorders>
              <w:bottom w:val="nil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-22.23</w:t>
            </w:r>
          </w:p>
        </w:tc>
        <w:tc>
          <w:tcPr>
            <w:tcW w:w="1562" w:type="dxa"/>
            <w:vMerge w:val="continue"/>
            <w:tcBorders>
              <w:bottom w:val="nil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2" w:type="dxa"/>
            <w:vMerge w:val="continue"/>
            <w:tcBorders>
              <w:bottom w:val="nil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667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Nylon  6</w:t>
            </w:r>
          </w:p>
        </w:tc>
        <w:tc>
          <w:tcPr>
            <w:tcW w:w="1667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288.15</w:t>
            </w:r>
          </w:p>
        </w:tc>
        <w:tc>
          <w:tcPr>
            <w:tcW w:w="1667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-16.98</w:t>
            </w:r>
          </w:p>
        </w:tc>
        <w:tc>
          <w:tcPr>
            <w:tcW w:w="1562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-18.02</w:t>
            </w:r>
          </w:p>
        </w:tc>
        <w:tc>
          <w:tcPr>
            <w:tcW w:w="1772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-3.33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667" w:type="dxa"/>
            <w:vMerge w:val="continue"/>
            <w:tcBorders>
              <w:top w:val="nil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7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298.15</w:t>
            </w:r>
          </w:p>
        </w:tc>
        <w:tc>
          <w:tcPr>
            <w:tcW w:w="1667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-17.19</w:t>
            </w:r>
          </w:p>
        </w:tc>
        <w:tc>
          <w:tcPr>
            <w:tcW w:w="1562" w:type="dxa"/>
            <w:vMerge w:val="continue"/>
            <w:tcBorders>
              <w:top w:val="nil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2" w:type="dxa"/>
            <w:vMerge w:val="continue"/>
            <w:tcBorders>
              <w:top w:val="nil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667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7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308.15</w:t>
            </w:r>
          </w:p>
        </w:tc>
        <w:tc>
          <w:tcPr>
            <w:tcW w:w="1667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-16.86</w:t>
            </w:r>
          </w:p>
        </w:tc>
        <w:tc>
          <w:tcPr>
            <w:tcW w:w="1562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2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tabs>
                <w:tab w:val="left" w:pos="27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>
      <w:p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>
      <w:pPr>
        <w:spacing w:line="480" w:lineRule="auto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Table S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Binding energies (Eb) obtained from high-resolution C1s and O1s XPS spectra of PES micromembranes before (CKP) and after (0.04P) pyraclostrobin adsorption.</w:t>
      </w:r>
    </w:p>
    <w:tbl>
      <w:tblPr>
        <w:tblStyle w:val="12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1120"/>
        <w:gridCol w:w="1357"/>
        <w:gridCol w:w="1057"/>
        <w:gridCol w:w="1107"/>
        <w:gridCol w:w="1437"/>
        <w:gridCol w:w="121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6" w:type="dxa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Element</w:t>
            </w:r>
          </w:p>
        </w:tc>
        <w:tc>
          <w:tcPr>
            <w:tcW w:w="3534" w:type="dxa"/>
            <w:gridSpan w:val="3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CKP</w:t>
            </w:r>
          </w:p>
        </w:tc>
        <w:tc>
          <w:tcPr>
            <w:tcW w:w="3756" w:type="dxa"/>
            <w:gridSpan w:val="3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0.04P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6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Eb（eV）</w:t>
            </w:r>
          </w:p>
        </w:tc>
        <w:tc>
          <w:tcPr>
            <w:tcW w:w="135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Type</w:t>
            </w:r>
          </w:p>
        </w:tc>
        <w:tc>
          <w:tcPr>
            <w:tcW w:w="105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Percent（%）</w:t>
            </w:r>
          </w:p>
        </w:tc>
        <w:tc>
          <w:tcPr>
            <w:tcW w:w="110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Eb（eV）</w:t>
            </w:r>
          </w:p>
        </w:tc>
        <w:tc>
          <w:tcPr>
            <w:tcW w:w="143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Type</w:t>
            </w:r>
          </w:p>
        </w:tc>
        <w:tc>
          <w:tcPr>
            <w:tcW w:w="121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Percent（%）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6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C1s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284.60</w:t>
            </w:r>
          </w:p>
        </w:tc>
        <w:tc>
          <w:tcPr>
            <w:tcW w:w="1357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C-C(H)/C=C</w:t>
            </w:r>
          </w:p>
        </w:tc>
        <w:tc>
          <w:tcPr>
            <w:tcW w:w="1057" w:type="dxa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52.4 </w:t>
            </w:r>
          </w:p>
        </w:tc>
        <w:tc>
          <w:tcPr>
            <w:tcW w:w="1107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284.80</w:t>
            </w:r>
          </w:p>
        </w:tc>
        <w:tc>
          <w:tcPr>
            <w:tcW w:w="1437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C-C(H)/C=C</w:t>
            </w:r>
          </w:p>
        </w:tc>
        <w:tc>
          <w:tcPr>
            <w:tcW w:w="1212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71.1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6" w:type="dxa"/>
            <w:vMerge w:val="continue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285.19</w:t>
            </w:r>
          </w:p>
        </w:tc>
        <w:tc>
          <w:tcPr>
            <w:tcW w:w="1357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C-S</w:t>
            </w:r>
          </w:p>
        </w:tc>
        <w:tc>
          <w:tcPr>
            <w:tcW w:w="1057" w:type="dxa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15.3 </w:t>
            </w:r>
          </w:p>
        </w:tc>
        <w:tc>
          <w:tcPr>
            <w:tcW w:w="1107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285.30</w:t>
            </w:r>
          </w:p>
        </w:tc>
        <w:tc>
          <w:tcPr>
            <w:tcW w:w="1437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C-S</w:t>
            </w:r>
          </w:p>
        </w:tc>
        <w:tc>
          <w:tcPr>
            <w:tcW w:w="1212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6" w:type="dxa"/>
            <w:vMerge w:val="continue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285.80</w:t>
            </w:r>
          </w:p>
        </w:tc>
        <w:tc>
          <w:tcPr>
            <w:tcW w:w="1357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C-N/C=N</w:t>
            </w:r>
          </w:p>
        </w:tc>
        <w:tc>
          <w:tcPr>
            <w:tcW w:w="1057" w:type="dxa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3.9 </w:t>
            </w:r>
          </w:p>
        </w:tc>
        <w:tc>
          <w:tcPr>
            <w:tcW w:w="1107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285.70</w:t>
            </w:r>
          </w:p>
        </w:tc>
        <w:tc>
          <w:tcPr>
            <w:tcW w:w="1437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C-N</w:t>
            </w:r>
          </w:p>
        </w:tc>
        <w:tc>
          <w:tcPr>
            <w:tcW w:w="1212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6" w:type="dxa"/>
            <w:vMerge w:val="continue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dxa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286.10</w:t>
            </w:r>
          </w:p>
        </w:tc>
        <w:tc>
          <w:tcPr>
            <w:tcW w:w="1357" w:type="dxa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C-O</w:t>
            </w:r>
          </w:p>
        </w:tc>
        <w:tc>
          <w:tcPr>
            <w:tcW w:w="1057" w:type="dxa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24.1 </w:t>
            </w:r>
          </w:p>
        </w:tc>
        <w:tc>
          <w:tcPr>
            <w:tcW w:w="1107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286.30</w:t>
            </w:r>
          </w:p>
        </w:tc>
        <w:tc>
          <w:tcPr>
            <w:tcW w:w="1437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C-O</w:t>
            </w:r>
          </w:p>
        </w:tc>
        <w:tc>
          <w:tcPr>
            <w:tcW w:w="1212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13.1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6" w:type="dxa"/>
            <w:vMerge w:val="continue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dxa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291.76</w:t>
            </w:r>
          </w:p>
        </w:tc>
        <w:tc>
          <w:tcPr>
            <w:tcW w:w="1357" w:type="dxa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π-π*</w:t>
            </w:r>
          </w:p>
        </w:tc>
        <w:tc>
          <w:tcPr>
            <w:tcW w:w="1057" w:type="dxa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 </w:t>
            </w:r>
          </w:p>
        </w:tc>
        <w:tc>
          <w:tcPr>
            <w:tcW w:w="1107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291.90</w:t>
            </w:r>
          </w:p>
        </w:tc>
        <w:tc>
          <w:tcPr>
            <w:tcW w:w="1437" w:type="dxa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π-π*</w:t>
            </w:r>
          </w:p>
        </w:tc>
        <w:tc>
          <w:tcPr>
            <w:tcW w:w="1212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6" w:type="dxa"/>
            <w:vMerge w:val="continue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357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57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107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287.00</w:t>
            </w:r>
          </w:p>
        </w:tc>
        <w:tc>
          <w:tcPr>
            <w:tcW w:w="1437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C-Cl</w:t>
            </w:r>
          </w:p>
        </w:tc>
        <w:tc>
          <w:tcPr>
            <w:tcW w:w="1212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3.4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6" w:type="dxa"/>
            <w:vMerge w:val="continue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7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7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287.70</w:t>
            </w:r>
          </w:p>
        </w:tc>
        <w:tc>
          <w:tcPr>
            <w:tcW w:w="1437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C=O</w:t>
            </w:r>
          </w:p>
        </w:tc>
        <w:tc>
          <w:tcPr>
            <w:tcW w:w="1212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6" w:type="dxa"/>
            <w:vMerge w:val="restart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O 1s</w:t>
            </w:r>
          </w:p>
        </w:tc>
        <w:tc>
          <w:tcPr>
            <w:tcW w:w="1120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357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57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107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531.00</w:t>
            </w:r>
          </w:p>
        </w:tc>
        <w:tc>
          <w:tcPr>
            <w:tcW w:w="1437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C=O</w:t>
            </w:r>
          </w:p>
        </w:tc>
        <w:tc>
          <w:tcPr>
            <w:tcW w:w="1212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11.7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6" w:type="dxa"/>
            <w:vMerge w:val="continue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531.70</w:t>
            </w:r>
          </w:p>
        </w:tc>
        <w:tc>
          <w:tcPr>
            <w:tcW w:w="1357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O=S=O</w:t>
            </w:r>
          </w:p>
        </w:tc>
        <w:tc>
          <w:tcPr>
            <w:tcW w:w="1057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77.2 </w:t>
            </w:r>
          </w:p>
        </w:tc>
        <w:tc>
          <w:tcPr>
            <w:tcW w:w="1107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531.90</w:t>
            </w:r>
          </w:p>
        </w:tc>
        <w:tc>
          <w:tcPr>
            <w:tcW w:w="1437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O=S=O</w:t>
            </w:r>
          </w:p>
        </w:tc>
        <w:tc>
          <w:tcPr>
            <w:tcW w:w="1212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84.8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16" w:type="dxa"/>
            <w:vMerge w:val="continue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533.60</w:t>
            </w:r>
          </w:p>
        </w:tc>
        <w:tc>
          <w:tcPr>
            <w:tcW w:w="1357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C-O</w:t>
            </w:r>
          </w:p>
        </w:tc>
        <w:tc>
          <w:tcPr>
            <w:tcW w:w="1057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22.8 </w:t>
            </w:r>
          </w:p>
        </w:tc>
        <w:tc>
          <w:tcPr>
            <w:tcW w:w="1107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533.60</w:t>
            </w:r>
          </w:p>
        </w:tc>
        <w:tc>
          <w:tcPr>
            <w:tcW w:w="1437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C-O</w:t>
            </w:r>
          </w:p>
        </w:tc>
        <w:tc>
          <w:tcPr>
            <w:tcW w:w="1212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3.5 </w:t>
            </w:r>
          </w:p>
        </w:tc>
      </w:tr>
    </w:tbl>
    <w:p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>
      <w:pPr>
        <w:spacing w:line="480" w:lineRule="auto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Table S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Binding energies (Eb) obtained from high-resolution C1s, and O1s XPS spectra of Nylon6 micromembranes before (CKN) and after (0.04N) pyraclostrobin adsorption.</w:t>
      </w:r>
    </w:p>
    <w:tbl>
      <w:tblPr>
        <w:tblStyle w:val="12"/>
        <w:tblW w:w="808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1105"/>
        <w:gridCol w:w="1249"/>
        <w:gridCol w:w="1468"/>
        <w:gridCol w:w="1010"/>
        <w:gridCol w:w="1250"/>
        <w:gridCol w:w="98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976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Element</w:t>
            </w:r>
          </w:p>
        </w:tc>
        <w:tc>
          <w:tcPr>
            <w:tcW w:w="3857" w:type="dxa"/>
            <w:gridSpan w:val="3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CKN</w:t>
            </w:r>
          </w:p>
        </w:tc>
        <w:tc>
          <w:tcPr>
            <w:tcW w:w="3247" w:type="dxa"/>
            <w:gridSpan w:val="3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0.04N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97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Eb（eV）</w:t>
            </w:r>
          </w:p>
        </w:tc>
        <w:tc>
          <w:tcPr>
            <w:tcW w:w="125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Type</w:t>
            </w:r>
          </w:p>
        </w:tc>
        <w:tc>
          <w:tcPr>
            <w:tcW w:w="14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Percent（%）</w:t>
            </w:r>
          </w:p>
        </w:tc>
        <w:tc>
          <w:tcPr>
            <w:tcW w:w="101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Eb（eV）</w:t>
            </w:r>
          </w:p>
        </w:tc>
        <w:tc>
          <w:tcPr>
            <w:tcW w:w="12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Type</w:t>
            </w:r>
          </w:p>
        </w:tc>
        <w:tc>
          <w:tcPr>
            <w:tcW w:w="9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Percent（%）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976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 1s</w:t>
            </w:r>
          </w:p>
        </w:tc>
        <w:tc>
          <w:tcPr>
            <w:tcW w:w="1112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284.80</w:t>
            </w:r>
          </w:p>
        </w:tc>
        <w:tc>
          <w:tcPr>
            <w:tcW w:w="1250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C-C(H)/C=C</w:t>
            </w:r>
          </w:p>
        </w:tc>
        <w:tc>
          <w:tcPr>
            <w:tcW w:w="1495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63.5 </w:t>
            </w:r>
          </w:p>
        </w:tc>
        <w:tc>
          <w:tcPr>
            <w:tcW w:w="1012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284.80</w:t>
            </w:r>
          </w:p>
        </w:tc>
        <w:tc>
          <w:tcPr>
            <w:tcW w:w="1251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C-C(H)/C=C</w:t>
            </w:r>
          </w:p>
        </w:tc>
        <w:tc>
          <w:tcPr>
            <w:tcW w:w="984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67.9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976" w:type="dxa"/>
            <w:vMerge w:val="continue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2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285.57</w:t>
            </w:r>
          </w:p>
        </w:tc>
        <w:tc>
          <w:tcPr>
            <w:tcW w:w="1250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C-N</w:t>
            </w:r>
          </w:p>
        </w:tc>
        <w:tc>
          <w:tcPr>
            <w:tcW w:w="1495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25.8 </w:t>
            </w:r>
          </w:p>
        </w:tc>
        <w:tc>
          <w:tcPr>
            <w:tcW w:w="1012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285.57</w:t>
            </w:r>
          </w:p>
        </w:tc>
        <w:tc>
          <w:tcPr>
            <w:tcW w:w="1251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C-N</w:t>
            </w:r>
          </w:p>
        </w:tc>
        <w:tc>
          <w:tcPr>
            <w:tcW w:w="984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976" w:type="dxa"/>
            <w:vMerge w:val="continue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2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287.86</w:t>
            </w:r>
          </w:p>
        </w:tc>
        <w:tc>
          <w:tcPr>
            <w:tcW w:w="1250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C=O</w:t>
            </w:r>
          </w:p>
        </w:tc>
        <w:tc>
          <w:tcPr>
            <w:tcW w:w="1495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10.7 </w:t>
            </w:r>
          </w:p>
        </w:tc>
        <w:tc>
          <w:tcPr>
            <w:tcW w:w="1012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287.86</w:t>
            </w:r>
          </w:p>
        </w:tc>
        <w:tc>
          <w:tcPr>
            <w:tcW w:w="1251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C=O</w:t>
            </w:r>
          </w:p>
        </w:tc>
        <w:tc>
          <w:tcPr>
            <w:tcW w:w="984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5.4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976" w:type="dxa"/>
            <w:vMerge w:val="continue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2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250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495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12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286.98</w:t>
            </w:r>
          </w:p>
        </w:tc>
        <w:tc>
          <w:tcPr>
            <w:tcW w:w="1251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C-Cl</w:t>
            </w:r>
          </w:p>
        </w:tc>
        <w:tc>
          <w:tcPr>
            <w:tcW w:w="984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4.8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976" w:type="dxa"/>
            <w:vMerge w:val="continue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2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250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495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12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288.06</w:t>
            </w:r>
          </w:p>
        </w:tc>
        <w:tc>
          <w:tcPr>
            <w:tcW w:w="1251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C=O</w:t>
            </w:r>
          </w:p>
        </w:tc>
        <w:tc>
          <w:tcPr>
            <w:tcW w:w="984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8.8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976" w:type="dxa"/>
            <w:vMerge w:val="restart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O 1s</w:t>
            </w:r>
          </w:p>
        </w:tc>
        <w:tc>
          <w:tcPr>
            <w:tcW w:w="1112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531.1</w:t>
            </w:r>
          </w:p>
        </w:tc>
        <w:tc>
          <w:tcPr>
            <w:tcW w:w="1250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C=O</w:t>
            </w:r>
          </w:p>
        </w:tc>
        <w:tc>
          <w:tcPr>
            <w:tcW w:w="1495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75.3 </w:t>
            </w:r>
          </w:p>
        </w:tc>
        <w:tc>
          <w:tcPr>
            <w:tcW w:w="1012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1251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C=O</w:t>
            </w:r>
          </w:p>
        </w:tc>
        <w:tc>
          <w:tcPr>
            <w:tcW w:w="984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49.9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976" w:type="dxa"/>
            <w:vMerge w:val="continue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2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1250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OH in the adsorbed 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495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24.7 </w:t>
            </w:r>
          </w:p>
        </w:tc>
        <w:tc>
          <w:tcPr>
            <w:tcW w:w="1012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1251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OH</w:t>
            </w:r>
          </w:p>
        </w:tc>
        <w:tc>
          <w:tcPr>
            <w:tcW w:w="984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38.5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976" w:type="dxa"/>
            <w:vMerge w:val="continue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2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250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495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12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1251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C-O</w:t>
            </w:r>
          </w:p>
        </w:tc>
        <w:tc>
          <w:tcPr>
            <w:tcW w:w="984" w:type="dxa"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11.6 </w:t>
            </w:r>
          </w:p>
        </w:tc>
      </w:tr>
    </w:tbl>
    <w:p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object>
          <v:shape id="_x0000_i1025" o:spt="75" type="#_x0000_t75" style="height:209.35pt;width:414.6pt;" o:ole="t" filled="f" o:preferrelative="t" stroked="f" coordsize="21600,21600">
            <v:path/>
            <v:fill on="f" focussize="0,0"/>
            <v:stroke on="f"/>
            <v:imagedata r:id="rId6" cropleft="2180f" croptop="9589f" cropright="3630f" cropbottom="6525f" o:title=""/>
            <o:lock v:ext="edit" aspectratio="f"/>
            <w10:wrap type="none"/>
            <w10:anchorlock/>
          </v:shape>
          <o:OLEObject Type="Embed" ProgID="Origin95.Graph" ShapeID="_x0000_i1025" DrawAspect="Content" ObjectID="_1468075725" r:id="rId5">
            <o:LockedField>false</o:LockedField>
          </o:OLEObject>
        </w:object>
      </w:r>
    </w:p>
    <w:p>
      <w:pPr>
        <w:spacing w:line="480" w:lineRule="auto"/>
        <w:outlineLvl w:val="1"/>
        <w:rPr>
          <w:rFonts w:ascii="Times New Roman" w:hAnsi="Times New Roman" w:cs="Times New Roman" w:eastAsiaTheme="minorHAns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41" w:name="OLE_LINK64"/>
      <w:bookmarkStart w:id="42" w:name="OLE_LINK63"/>
      <w:r>
        <w:rPr>
          <w:rFonts w:ascii="Times New Roman" w:hAnsi="Times New Roman" w:cs="Times New Roman" w:eastAsiaTheme="minorHAnsi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 w:eastAsiaTheme="minorHAnsi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 w:eastAsiaTheme="minorHAnsi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</w:t>
      </w:r>
      <w:r>
        <w:rPr>
          <w:rFonts w:hint="eastAsia" w:ascii="Times New Roman" w:hAnsi="Times New Roman" w:cs="Times New Roman" w:eastAsiaTheme="minorHAnsi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 w:eastAsiaTheme="minorHAns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 w:eastAsiaTheme="minorHAns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The</w:t>
      </w:r>
      <w:r>
        <w:rPr>
          <w:rFonts w:ascii="Times New Roman" w:hAnsi="Times New Roman" w:cs="Times New Roman" w:eastAsiaTheme="minorHAns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 w:eastAsiaTheme="minorHAns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cumulative</w:t>
      </w:r>
      <w:r>
        <w:rPr>
          <w:rFonts w:ascii="Times New Roman" w:hAnsi="Times New Roman" w:cs="Times New Roman" w:eastAsiaTheme="minorHAns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pore volume and pore size distributions (inset) of PES (</w:t>
      </w:r>
      <w:r>
        <w:rPr>
          <w:rFonts w:hint="eastAsia" w:ascii="Times New Roman" w:hAnsi="Times New Roman" w:cs="Times New Roman" w:eastAsiaTheme="minorHAns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cs="Times New Roman" w:eastAsiaTheme="minorHAns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 and Nylon 6 (</w:t>
      </w:r>
      <w:r>
        <w:rPr>
          <w:rFonts w:hint="eastAsia" w:ascii="Times New Roman" w:hAnsi="Times New Roman" w:cs="Times New Roman" w:eastAsiaTheme="minorHAns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ascii="Times New Roman" w:hAnsi="Times New Roman" w:cs="Times New Roman" w:eastAsiaTheme="minorHAns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 micromembranes obtained from mercury intrusion.</w:t>
      </w:r>
      <w:bookmarkEnd w:id="41"/>
      <w:bookmarkEnd w:id="42"/>
    </w:p>
    <w:p>
      <w:pPr>
        <w:rPr>
          <w:rFonts w:ascii="Times New Roman" w:hAnsi="Times New Roman" w:cs="Times New Roman" w:eastAsiaTheme="minorHAns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inorHAns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>
      <w:pPr>
        <w:spacing w:line="480" w:lineRule="auto"/>
        <w:outlineLvl w:val="1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object>
          <v:shape id="_x0000_i1026" o:spt="75" type="#_x0000_t75" style="height:232.65pt;width:435.6pt;" o:ole="t" filled="f" o:preferrelative="t" stroked="f" coordsize="21600,21600">
            <v:path/>
            <v:fill on="f" focussize="0,0"/>
            <v:stroke on="f"/>
            <v:imagedata r:id="rId8" cropleft="3446f" croptop="8360f" cropright="4241f" cropbottom="7547f" o:title=""/>
            <o:lock v:ext="edit" aspectratio="f"/>
            <w10:wrap type="none"/>
            <w10:anchorlock/>
          </v:shape>
          <o:OLEObject Type="Embed" ProgID="Origin95.Graph" ShapeID="_x0000_i1026" DrawAspect="Content" ObjectID="_1468075726" r:id="rId7">
            <o:LockedField>false</o:LockedField>
          </o:OLEObject>
        </w:objec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S2 </w:t>
      </w:r>
      <w:r>
        <w:rPr>
          <w:rFonts w:ascii="Times New Roman" w:hAnsi="Times New Roman" w:cs="Times New Roman"/>
          <w:sz w:val="24"/>
          <w:szCs w:val="24"/>
        </w:rPr>
        <w:t>Effects of micromembrane dosages on the adsorption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(24 h)</w:t>
      </w:r>
      <w:r>
        <w:rPr>
          <w:rFonts w:ascii="Times New Roman" w:hAnsi="Times New Roman" w:cs="Times New Roman"/>
          <w:sz w:val="24"/>
          <w:szCs w:val="24"/>
        </w:rPr>
        <w:t xml:space="preserve"> of pyraclostrobin (1.0 mg/L) onto micromembranes at 298.1</w:t>
      </w:r>
      <w:r>
        <w:rPr>
          <w:rFonts w:hint="eastAsia"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K.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(Error bars represent standard deviation from the mean (n = 3)).</w:t>
      </w:r>
    </w:p>
    <w:p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spacing w:line="480" w:lineRule="auto"/>
      </w:pPr>
      <w:r>
        <w:object>
          <v:shape id="_x0000_i1027" o:spt="75" type="#_x0000_t75" style="height:329.95pt;width:413.25pt;" o:ole="t" filled="f" o:preferrelative="t" stroked="f" coordsize="21600,21600">
            <v:path/>
            <v:fill on="f" focussize="0,0"/>
            <v:stroke on="f"/>
            <v:imagedata r:id="rId10" cropleft="6229f" croptop="5954f" cropright="8217f" cropbottom="3576f" o:title=""/>
            <o:lock v:ext="edit" aspectratio="f"/>
            <w10:wrap type="none"/>
            <w10:anchorlock/>
          </v:shape>
          <o:OLEObject Type="Embed" ProgID="Origin95.Graph" ShapeID="_x0000_i1027" DrawAspect="Content" ObjectID="_1468075727" r:id="rId9">
            <o:LockedField>false</o:LockedField>
          </o:OLEObject>
        </w:object>
      </w:r>
    </w:p>
    <w:p>
      <w:pPr>
        <w:spacing w:line="480" w:lineRule="auto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Fig. S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Stability of pyraclostrobin in aqueous solutions in dark conditions (220 rpm, 298.15 K in a temperature-controlled shaker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, error bars represent standard deviation from the mean (n = 3)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).</w:t>
      </w:r>
    </w:p>
    <w:p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 w:val="0"/>
        <w:autoSpaceDN w:val="0"/>
        <w:bidi w:val="0"/>
        <w:adjustRightInd w:val="0"/>
        <w:snapToGrid/>
        <w:spacing w:after="326" w:afterLines="100"/>
        <w:jc w:val="left"/>
        <w:textAlignment w:val="auto"/>
        <w:rPr>
          <w:rFonts w:ascii="Times New Roman" w:hAnsi="Times New Roman" w:cs="Times New Roman"/>
          <w:sz w:val="21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object>
          <v:shape id="_x0000_i1028" o:spt="75" type="#_x0000_t75" style="height:236.3pt;width:419.5pt;" o:ole="t" filled="f" o:preferrelative="t" stroked="f" coordsize="21600,21600">
            <v:path/>
            <v:fill on="f" focussize="0,0"/>
            <v:stroke on="f"/>
            <v:imagedata r:id="rId12" cropleft="1037f" croptop="3480f" cropright="3524f" cropbottom="9589f" o:title=""/>
            <o:lock v:ext="edit" aspectratio="f"/>
            <w10:wrap type="none"/>
            <w10:anchorlock/>
          </v:shape>
          <o:OLEObject Type="Embed" ProgID="Origin95.Graph" ShapeID="_x0000_i1028" DrawAspect="Content" ObjectID="_1468075728" r:id="rId11">
            <o:LockedField>false</o:LockedField>
          </o:OLEObject>
        </w:objec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Fig. S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Adsorption isotherms under different temperature（288.13、298.13 and308.13 K） (a) PES , (b) Nylon 6 micromembrane (PES micromembrane amount = 0.01 g, V = 40 mL；Nylon 6 micromembrane amount = 0.03 g, V = 30 mL； initial concentration of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pyraclostrobin</w:t>
      </w:r>
      <w:r>
        <w:rPr>
          <w:rFonts w:hint="default" w:ascii="Times New Roman" w:hAnsi="Times New Roman" w:cs="Times New Roman"/>
          <w:sz w:val="24"/>
          <w:szCs w:val="24"/>
        </w:rPr>
        <w:t xml:space="preserve"> is 1.0 mg/L, adsorption time = 30 h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 error bars represent standard deviation from the mean (n = 3) and fitted using an adsorption isotherm equation</w:t>
      </w:r>
      <w:r>
        <w:rPr>
          <w:rFonts w:hint="default" w:ascii="Times New Roman" w:hAnsi="Times New Roman" w:cs="Times New Roman"/>
          <w:sz w:val="24"/>
          <w:szCs w:val="24"/>
        </w:rPr>
        <w:t>).</w:t>
      </w:r>
    </w:p>
    <w:p>
      <w:pPr>
        <w:spacing w:line="480" w:lineRule="auto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spacing w:line="360" w:lineRule="auto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object>
          <v:shape id="_x0000_i1029" o:spt="75" type="#_x0000_t75" style="height:355.2pt;width:425.1pt;" o:ole="t" filled="f" o:preferrelative="t" stroked="f" coordsize="21600,21600">
            <v:path/>
            <v:fill on="f" focussize="0,0"/>
            <v:stroke on="f"/>
            <v:imagedata r:id="rId14" cropleft="5778f" croptop="6950f" cropright="7907f" cropbottom="2986f" o:title=""/>
            <o:lock v:ext="edit" aspectratio="f"/>
            <w10:wrap type="none"/>
            <w10:anchorlock/>
          </v:shape>
          <o:OLEObject Type="Embed" ProgID="Origin95.Graph" ShapeID="_x0000_i1029" DrawAspect="Content" ObjectID="_1468075729" r:id="rId13">
            <o:LockedField>false</o:LockedField>
          </o:OLEObject>
        </w:objec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Fig. S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Plot of lnK against 1/T for the estimation of thermodynamic parameters for the pyraclostrobin adsorption on PES and Nylon 6 micromembranes.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object>
          <v:shape id="_x0000_i1030" o:spt="75" type="#_x0000_t75" style="height:330pt;width:417pt;" o:ole="t" filled="f" o:preferrelative="t" stroked="f" coordsize="21600,21600">
            <v:path/>
            <v:fill on="f" focussize="0,0"/>
            <v:stroke on="f" joinstyle="miter"/>
            <v:imagedata r:id="rId16" cropleft="10982f" croptop="7832f" cropright="13461f" cropbottom="6109f" o:title=""/>
            <o:lock v:ext="edit" aspectratio="f"/>
            <w10:wrap type="none"/>
            <w10:anchorlock/>
          </v:shape>
          <o:OLEObject Type="Embed" ProgID="Origin95.Graph" ShapeID="_x0000_i1030" DrawAspect="Content" ObjectID="_1468075730" r:id="rId15">
            <o:LockedField>false</o:LockedField>
          </o:OLEObject>
        </w:objec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Fig. S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Infrared spectra of PES and Nylon 6 before and after pyraclostrobin adsorption.</w:t>
      </w:r>
    </w:p>
    <w:p>
      <w:p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>
      <w:pPr>
        <w:spacing w:line="480" w:lineRule="auto"/>
      </w:pPr>
      <w:r>
        <w:object>
          <v:shape id="_x0000_i1031" o:spt="75" type="#_x0000_t75" style="height:258.75pt;width:430.5pt;" o:ole="t" filled="f" o:preferrelative="t" stroked="f" coordsize="21600,21600">
            <v:path/>
            <v:fill on="f" focussize="0,0"/>
            <v:stroke on="f" joinstyle="miter"/>
            <v:imagedata r:id="rId18" cropleft="3242f" croptop="3258f" cropright="926f" cropbottom="2300f" o:title=""/>
            <o:lock v:ext="edit" aspectratio="f"/>
            <w10:wrap type="none"/>
            <w10:anchorlock/>
          </v:shape>
          <o:OLEObject Type="Embed" ProgID="Origin95.Graph" ShapeID="_x0000_i1031" DrawAspect="Content" ObjectID="_1468075731" r:id="rId17">
            <o:LockedField>false</o:LockedField>
          </o:OLEObject>
        </w:objec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Fig. S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Cs/>
          <w:sz w:val="24"/>
          <w:szCs w:val="24"/>
        </w:rPr>
        <w:t xml:space="preserve">The </w:t>
      </w:r>
      <w:r>
        <w:rPr>
          <w:rFonts w:hint="eastAsia"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1s</w:t>
      </w:r>
      <w:r>
        <w:rPr>
          <w:rFonts w:hint="eastAsia"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XPS spectra of </w:t>
      </w:r>
      <w:r>
        <w:rPr>
          <w:rFonts w:hint="eastAsia" w:ascii="Times New Roman" w:hAnsi="Times New Roman" w:cs="Times New Roman"/>
          <w:sz w:val="24"/>
          <w:szCs w:val="24"/>
        </w:rPr>
        <w:t>PES</w:t>
      </w:r>
      <w:r>
        <w:rPr>
          <w:rFonts w:ascii="Times New Roman" w:hAnsi="Times New Roman" w:cs="Times New Roman"/>
          <w:sz w:val="24"/>
          <w:szCs w:val="24"/>
        </w:rPr>
        <w:t xml:space="preserve"> micromembrane before (CK</w:t>
      </w:r>
      <w:r>
        <w:rPr>
          <w:rFonts w:hint="eastAsia"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) and after </w:t>
      </w:r>
      <w:r>
        <w:rPr>
          <w:rFonts w:ascii="Times New Roman" w:hAnsi="Times New Roman" w:cs="Times New Roman"/>
          <w:bCs/>
          <w:sz w:val="24"/>
          <w:szCs w:val="24"/>
        </w:rPr>
        <w:t>(0.04P) pyraclostrobin adsorption.</w:t>
      </w:r>
      <w:r>
        <w:rPr>
          <w:rFonts w:hint="eastAsia" w:ascii="Times New Roman" w:hAnsi="Times New Roman" w:cs="Times New Roman"/>
          <w:bCs/>
          <w:sz w:val="24"/>
          <w:szCs w:val="24"/>
        </w:rPr>
        <w:t xml:space="preserve"> The </w:t>
      </w:r>
      <w:r>
        <w:rPr>
          <w:rFonts w:ascii="Times New Roman" w:hAnsi="Times New Roman" w:cs="Times New Roman"/>
          <w:bCs/>
          <w:sz w:val="24"/>
          <w:szCs w:val="24"/>
        </w:rPr>
        <w:t xml:space="preserve">N1s(b) XPS spectra of Nylon6  micromembranes before (CKN) and after (0.04N) pyraclostrobin adsorption.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Zurich BT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dvPSTim-I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20831483"/>
    </w:sdtPr>
    <w:sdtContent>
      <w:p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1tLA0MDIxNLU0MzdS0lEKTi0uzszPAykwNq4FAHZ9N/8tAAAA"/>
  </w:docVars>
  <w:rsids>
    <w:rsidRoot w:val="007C40CA"/>
    <w:rsid w:val="00000968"/>
    <w:rsid w:val="00005181"/>
    <w:rsid w:val="000055C4"/>
    <w:rsid w:val="000057DA"/>
    <w:rsid w:val="00006CB2"/>
    <w:rsid w:val="00007B94"/>
    <w:rsid w:val="00010274"/>
    <w:rsid w:val="000115B8"/>
    <w:rsid w:val="00012BD8"/>
    <w:rsid w:val="00015489"/>
    <w:rsid w:val="00016148"/>
    <w:rsid w:val="00016ECA"/>
    <w:rsid w:val="000221F3"/>
    <w:rsid w:val="00026108"/>
    <w:rsid w:val="00026751"/>
    <w:rsid w:val="00027492"/>
    <w:rsid w:val="0003203B"/>
    <w:rsid w:val="000321E4"/>
    <w:rsid w:val="000321E5"/>
    <w:rsid w:val="000346DD"/>
    <w:rsid w:val="0003694F"/>
    <w:rsid w:val="00042650"/>
    <w:rsid w:val="0004613C"/>
    <w:rsid w:val="000472B2"/>
    <w:rsid w:val="0004789C"/>
    <w:rsid w:val="00053692"/>
    <w:rsid w:val="00057846"/>
    <w:rsid w:val="000609F7"/>
    <w:rsid w:val="00061075"/>
    <w:rsid w:val="0006115E"/>
    <w:rsid w:val="000622E2"/>
    <w:rsid w:val="00062B67"/>
    <w:rsid w:val="00064B8C"/>
    <w:rsid w:val="00064FBC"/>
    <w:rsid w:val="00065A6B"/>
    <w:rsid w:val="00071B4F"/>
    <w:rsid w:val="000720E7"/>
    <w:rsid w:val="0007404F"/>
    <w:rsid w:val="0007431F"/>
    <w:rsid w:val="00074E41"/>
    <w:rsid w:val="00077127"/>
    <w:rsid w:val="00081FD6"/>
    <w:rsid w:val="00082601"/>
    <w:rsid w:val="0008425F"/>
    <w:rsid w:val="0008432F"/>
    <w:rsid w:val="00085441"/>
    <w:rsid w:val="000879BE"/>
    <w:rsid w:val="000902BC"/>
    <w:rsid w:val="00092E5C"/>
    <w:rsid w:val="000959A2"/>
    <w:rsid w:val="000A3790"/>
    <w:rsid w:val="000A495B"/>
    <w:rsid w:val="000A5554"/>
    <w:rsid w:val="000A5BD7"/>
    <w:rsid w:val="000A754C"/>
    <w:rsid w:val="000A7AE6"/>
    <w:rsid w:val="000B2CE9"/>
    <w:rsid w:val="000B416C"/>
    <w:rsid w:val="000B43E9"/>
    <w:rsid w:val="000B4885"/>
    <w:rsid w:val="000B48D0"/>
    <w:rsid w:val="000B584E"/>
    <w:rsid w:val="000B594D"/>
    <w:rsid w:val="000B65DB"/>
    <w:rsid w:val="000B73DD"/>
    <w:rsid w:val="000C04CA"/>
    <w:rsid w:val="000C26D4"/>
    <w:rsid w:val="000C3585"/>
    <w:rsid w:val="000C5DC1"/>
    <w:rsid w:val="000C664F"/>
    <w:rsid w:val="000C7540"/>
    <w:rsid w:val="000D0358"/>
    <w:rsid w:val="000D07F1"/>
    <w:rsid w:val="000D27F3"/>
    <w:rsid w:val="000D5927"/>
    <w:rsid w:val="000D5A65"/>
    <w:rsid w:val="000D60C0"/>
    <w:rsid w:val="000D6B8C"/>
    <w:rsid w:val="000E0677"/>
    <w:rsid w:val="000E1D23"/>
    <w:rsid w:val="000E21C1"/>
    <w:rsid w:val="000E2322"/>
    <w:rsid w:val="000E27BA"/>
    <w:rsid w:val="000E2AF3"/>
    <w:rsid w:val="000E408D"/>
    <w:rsid w:val="000E455B"/>
    <w:rsid w:val="000E6B0C"/>
    <w:rsid w:val="000F2EB4"/>
    <w:rsid w:val="000F4742"/>
    <w:rsid w:val="000F6E5F"/>
    <w:rsid w:val="001037B5"/>
    <w:rsid w:val="00106B64"/>
    <w:rsid w:val="00110439"/>
    <w:rsid w:val="00111419"/>
    <w:rsid w:val="00114722"/>
    <w:rsid w:val="00115664"/>
    <w:rsid w:val="00115B28"/>
    <w:rsid w:val="001229B2"/>
    <w:rsid w:val="00124A71"/>
    <w:rsid w:val="00125350"/>
    <w:rsid w:val="00127669"/>
    <w:rsid w:val="0013026B"/>
    <w:rsid w:val="00130C61"/>
    <w:rsid w:val="00130F5E"/>
    <w:rsid w:val="001341B2"/>
    <w:rsid w:val="0014091F"/>
    <w:rsid w:val="00140E24"/>
    <w:rsid w:val="0014102C"/>
    <w:rsid w:val="001420A7"/>
    <w:rsid w:val="001451C5"/>
    <w:rsid w:val="00147AC5"/>
    <w:rsid w:val="00150AF6"/>
    <w:rsid w:val="001518F6"/>
    <w:rsid w:val="00153235"/>
    <w:rsid w:val="00153568"/>
    <w:rsid w:val="00154E2C"/>
    <w:rsid w:val="00155BC3"/>
    <w:rsid w:val="00157C68"/>
    <w:rsid w:val="001603D4"/>
    <w:rsid w:val="001604B5"/>
    <w:rsid w:val="00161E75"/>
    <w:rsid w:val="001630FD"/>
    <w:rsid w:val="00164762"/>
    <w:rsid w:val="0016563B"/>
    <w:rsid w:val="00165B5B"/>
    <w:rsid w:val="00165ED8"/>
    <w:rsid w:val="00166C3E"/>
    <w:rsid w:val="00167292"/>
    <w:rsid w:val="00172980"/>
    <w:rsid w:val="001759C9"/>
    <w:rsid w:val="00175E8B"/>
    <w:rsid w:val="0017702B"/>
    <w:rsid w:val="001778CF"/>
    <w:rsid w:val="00182788"/>
    <w:rsid w:val="00184E7A"/>
    <w:rsid w:val="0018539E"/>
    <w:rsid w:val="0018559E"/>
    <w:rsid w:val="00186A3A"/>
    <w:rsid w:val="0018712F"/>
    <w:rsid w:val="0019023F"/>
    <w:rsid w:val="001910B8"/>
    <w:rsid w:val="00191427"/>
    <w:rsid w:val="00193810"/>
    <w:rsid w:val="00196379"/>
    <w:rsid w:val="00197DEE"/>
    <w:rsid w:val="001A0CAD"/>
    <w:rsid w:val="001A3725"/>
    <w:rsid w:val="001A382B"/>
    <w:rsid w:val="001A3C27"/>
    <w:rsid w:val="001A4986"/>
    <w:rsid w:val="001A526D"/>
    <w:rsid w:val="001A720B"/>
    <w:rsid w:val="001A7A71"/>
    <w:rsid w:val="001B0A78"/>
    <w:rsid w:val="001B16B3"/>
    <w:rsid w:val="001B2FC1"/>
    <w:rsid w:val="001B4058"/>
    <w:rsid w:val="001B580E"/>
    <w:rsid w:val="001B7EC8"/>
    <w:rsid w:val="001C2088"/>
    <w:rsid w:val="001C333B"/>
    <w:rsid w:val="001C6404"/>
    <w:rsid w:val="001C74AD"/>
    <w:rsid w:val="001D0DB4"/>
    <w:rsid w:val="001D1F46"/>
    <w:rsid w:val="001D7D68"/>
    <w:rsid w:val="001E138C"/>
    <w:rsid w:val="001E1C3B"/>
    <w:rsid w:val="001E2703"/>
    <w:rsid w:val="001E3249"/>
    <w:rsid w:val="001E3345"/>
    <w:rsid w:val="001E4F08"/>
    <w:rsid w:val="001E576A"/>
    <w:rsid w:val="001E6386"/>
    <w:rsid w:val="001E6BE8"/>
    <w:rsid w:val="001F1F8C"/>
    <w:rsid w:val="001F6E01"/>
    <w:rsid w:val="002007E5"/>
    <w:rsid w:val="00200E74"/>
    <w:rsid w:val="00201341"/>
    <w:rsid w:val="0020160C"/>
    <w:rsid w:val="00201B87"/>
    <w:rsid w:val="00202D81"/>
    <w:rsid w:val="00205620"/>
    <w:rsid w:val="00206FEE"/>
    <w:rsid w:val="002078A3"/>
    <w:rsid w:val="0021095A"/>
    <w:rsid w:val="0021095F"/>
    <w:rsid w:val="002132D1"/>
    <w:rsid w:val="002223CB"/>
    <w:rsid w:val="00222EDE"/>
    <w:rsid w:val="00224224"/>
    <w:rsid w:val="00224516"/>
    <w:rsid w:val="002260A0"/>
    <w:rsid w:val="00230332"/>
    <w:rsid w:val="002311C9"/>
    <w:rsid w:val="002348D2"/>
    <w:rsid w:val="002357CD"/>
    <w:rsid w:val="00240AB1"/>
    <w:rsid w:val="0024118B"/>
    <w:rsid w:val="00244D58"/>
    <w:rsid w:val="002450EC"/>
    <w:rsid w:val="00246894"/>
    <w:rsid w:val="002472F7"/>
    <w:rsid w:val="002479CF"/>
    <w:rsid w:val="00250872"/>
    <w:rsid w:val="002542AB"/>
    <w:rsid w:val="002552CE"/>
    <w:rsid w:val="00257344"/>
    <w:rsid w:val="00263A14"/>
    <w:rsid w:val="0026586B"/>
    <w:rsid w:val="00273D1B"/>
    <w:rsid w:val="00274EC9"/>
    <w:rsid w:val="00274F8C"/>
    <w:rsid w:val="00277729"/>
    <w:rsid w:val="00281671"/>
    <w:rsid w:val="00283B3C"/>
    <w:rsid w:val="00290BC4"/>
    <w:rsid w:val="00291390"/>
    <w:rsid w:val="0029153E"/>
    <w:rsid w:val="00293739"/>
    <w:rsid w:val="00295DC2"/>
    <w:rsid w:val="002A1B03"/>
    <w:rsid w:val="002A54F7"/>
    <w:rsid w:val="002A7504"/>
    <w:rsid w:val="002B21F9"/>
    <w:rsid w:val="002B3430"/>
    <w:rsid w:val="002B368C"/>
    <w:rsid w:val="002B43E0"/>
    <w:rsid w:val="002B7ECC"/>
    <w:rsid w:val="002C0432"/>
    <w:rsid w:val="002C18DC"/>
    <w:rsid w:val="002C1BB5"/>
    <w:rsid w:val="002C60DD"/>
    <w:rsid w:val="002C62EF"/>
    <w:rsid w:val="002D4B57"/>
    <w:rsid w:val="002D4D30"/>
    <w:rsid w:val="002D6238"/>
    <w:rsid w:val="002D65B0"/>
    <w:rsid w:val="002E3614"/>
    <w:rsid w:val="002E36FB"/>
    <w:rsid w:val="002E3B30"/>
    <w:rsid w:val="002E5CD7"/>
    <w:rsid w:val="002E73FD"/>
    <w:rsid w:val="002F09E9"/>
    <w:rsid w:val="002F424A"/>
    <w:rsid w:val="002F5CD2"/>
    <w:rsid w:val="002F5E21"/>
    <w:rsid w:val="002F7335"/>
    <w:rsid w:val="00303085"/>
    <w:rsid w:val="003033D5"/>
    <w:rsid w:val="00303CC5"/>
    <w:rsid w:val="003041AA"/>
    <w:rsid w:val="00304BF1"/>
    <w:rsid w:val="003054C6"/>
    <w:rsid w:val="00305751"/>
    <w:rsid w:val="00306969"/>
    <w:rsid w:val="00307C36"/>
    <w:rsid w:val="00313EE0"/>
    <w:rsid w:val="003141C2"/>
    <w:rsid w:val="00321DF7"/>
    <w:rsid w:val="003223C2"/>
    <w:rsid w:val="00322C02"/>
    <w:rsid w:val="00322DCF"/>
    <w:rsid w:val="00324545"/>
    <w:rsid w:val="003246BA"/>
    <w:rsid w:val="00325596"/>
    <w:rsid w:val="003311C0"/>
    <w:rsid w:val="00333595"/>
    <w:rsid w:val="00334366"/>
    <w:rsid w:val="0033442C"/>
    <w:rsid w:val="00341174"/>
    <w:rsid w:val="00341568"/>
    <w:rsid w:val="00342AF4"/>
    <w:rsid w:val="00342BAA"/>
    <w:rsid w:val="003442BD"/>
    <w:rsid w:val="00344E9E"/>
    <w:rsid w:val="003455C0"/>
    <w:rsid w:val="00346662"/>
    <w:rsid w:val="00347878"/>
    <w:rsid w:val="00355B83"/>
    <w:rsid w:val="00361CCF"/>
    <w:rsid w:val="00362277"/>
    <w:rsid w:val="0036425F"/>
    <w:rsid w:val="00364427"/>
    <w:rsid w:val="003666FE"/>
    <w:rsid w:val="00366B84"/>
    <w:rsid w:val="00366D05"/>
    <w:rsid w:val="00367115"/>
    <w:rsid w:val="00370341"/>
    <w:rsid w:val="00374373"/>
    <w:rsid w:val="0037641D"/>
    <w:rsid w:val="00376DAE"/>
    <w:rsid w:val="00377962"/>
    <w:rsid w:val="00383978"/>
    <w:rsid w:val="00384677"/>
    <w:rsid w:val="00385644"/>
    <w:rsid w:val="00385995"/>
    <w:rsid w:val="00386FE2"/>
    <w:rsid w:val="00391F1A"/>
    <w:rsid w:val="00391F49"/>
    <w:rsid w:val="00393A06"/>
    <w:rsid w:val="0039600D"/>
    <w:rsid w:val="00396CDD"/>
    <w:rsid w:val="003A16D9"/>
    <w:rsid w:val="003A307E"/>
    <w:rsid w:val="003A3771"/>
    <w:rsid w:val="003A5868"/>
    <w:rsid w:val="003A7AEE"/>
    <w:rsid w:val="003B0343"/>
    <w:rsid w:val="003B04C6"/>
    <w:rsid w:val="003B05E4"/>
    <w:rsid w:val="003B0F77"/>
    <w:rsid w:val="003B16AA"/>
    <w:rsid w:val="003B2CFD"/>
    <w:rsid w:val="003B39B5"/>
    <w:rsid w:val="003B3A51"/>
    <w:rsid w:val="003B5EE6"/>
    <w:rsid w:val="003B5FCB"/>
    <w:rsid w:val="003B64F8"/>
    <w:rsid w:val="003B7491"/>
    <w:rsid w:val="003B757D"/>
    <w:rsid w:val="003B7F73"/>
    <w:rsid w:val="003C094E"/>
    <w:rsid w:val="003C12D6"/>
    <w:rsid w:val="003C2E8B"/>
    <w:rsid w:val="003C5559"/>
    <w:rsid w:val="003D1385"/>
    <w:rsid w:val="003D219D"/>
    <w:rsid w:val="003D41DC"/>
    <w:rsid w:val="003D4897"/>
    <w:rsid w:val="003D66F5"/>
    <w:rsid w:val="003E0D58"/>
    <w:rsid w:val="003E1F45"/>
    <w:rsid w:val="003E1FA2"/>
    <w:rsid w:val="003E3B0B"/>
    <w:rsid w:val="003E43B7"/>
    <w:rsid w:val="003E4470"/>
    <w:rsid w:val="003E4BE6"/>
    <w:rsid w:val="003E5565"/>
    <w:rsid w:val="003E6701"/>
    <w:rsid w:val="003E77DD"/>
    <w:rsid w:val="003E7BA7"/>
    <w:rsid w:val="003F2CDC"/>
    <w:rsid w:val="003F5544"/>
    <w:rsid w:val="003F5604"/>
    <w:rsid w:val="003F5699"/>
    <w:rsid w:val="003F6868"/>
    <w:rsid w:val="003F7A86"/>
    <w:rsid w:val="003F7C4A"/>
    <w:rsid w:val="003F7EC2"/>
    <w:rsid w:val="004005DB"/>
    <w:rsid w:val="004034B8"/>
    <w:rsid w:val="00403FA6"/>
    <w:rsid w:val="00405C41"/>
    <w:rsid w:val="00405D50"/>
    <w:rsid w:val="004074C1"/>
    <w:rsid w:val="00407C77"/>
    <w:rsid w:val="0041108C"/>
    <w:rsid w:val="00417112"/>
    <w:rsid w:val="00417890"/>
    <w:rsid w:val="00420CAE"/>
    <w:rsid w:val="004230B3"/>
    <w:rsid w:val="00424BB5"/>
    <w:rsid w:val="004268BF"/>
    <w:rsid w:val="00426C4F"/>
    <w:rsid w:val="0043220D"/>
    <w:rsid w:val="00432BB9"/>
    <w:rsid w:val="00434DDE"/>
    <w:rsid w:val="00435712"/>
    <w:rsid w:val="00435DAD"/>
    <w:rsid w:val="004367BB"/>
    <w:rsid w:val="0043771A"/>
    <w:rsid w:val="004412D5"/>
    <w:rsid w:val="0044388A"/>
    <w:rsid w:val="00444295"/>
    <w:rsid w:val="00446D77"/>
    <w:rsid w:val="00451AE5"/>
    <w:rsid w:val="00452FAD"/>
    <w:rsid w:val="004531B2"/>
    <w:rsid w:val="0045409B"/>
    <w:rsid w:val="00457DD0"/>
    <w:rsid w:val="00461811"/>
    <w:rsid w:val="00461EA4"/>
    <w:rsid w:val="004621B1"/>
    <w:rsid w:val="0046453F"/>
    <w:rsid w:val="00465280"/>
    <w:rsid w:val="00465C03"/>
    <w:rsid w:val="004675F9"/>
    <w:rsid w:val="00474170"/>
    <w:rsid w:val="0047420A"/>
    <w:rsid w:val="0047645E"/>
    <w:rsid w:val="004822CE"/>
    <w:rsid w:val="00483835"/>
    <w:rsid w:val="0049331A"/>
    <w:rsid w:val="00494E92"/>
    <w:rsid w:val="00496284"/>
    <w:rsid w:val="00497BC9"/>
    <w:rsid w:val="004A18BF"/>
    <w:rsid w:val="004B6D21"/>
    <w:rsid w:val="004C168B"/>
    <w:rsid w:val="004C18CD"/>
    <w:rsid w:val="004C2C8D"/>
    <w:rsid w:val="004C712C"/>
    <w:rsid w:val="004D6D8E"/>
    <w:rsid w:val="004E0019"/>
    <w:rsid w:val="004E02FD"/>
    <w:rsid w:val="004E2096"/>
    <w:rsid w:val="004E2367"/>
    <w:rsid w:val="004E369C"/>
    <w:rsid w:val="004E45AE"/>
    <w:rsid w:val="004E5869"/>
    <w:rsid w:val="004E63E3"/>
    <w:rsid w:val="004F1483"/>
    <w:rsid w:val="004F14C3"/>
    <w:rsid w:val="004F25BF"/>
    <w:rsid w:val="004F5C09"/>
    <w:rsid w:val="004F6CE6"/>
    <w:rsid w:val="004F711B"/>
    <w:rsid w:val="004F76A0"/>
    <w:rsid w:val="004F77B8"/>
    <w:rsid w:val="005005A5"/>
    <w:rsid w:val="00505CD2"/>
    <w:rsid w:val="00512F38"/>
    <w:rsid w:val="00515246"/>
    <w:rsid w:val="00515925"/>
    <w:rsid w:val="00516C9F"/>
    <w:rsid w:val="00522EC4"/>
    <w:rsid w:val="00524079"/>
    <w:rsid w:val="0052574E"/>
    <w:rsid w:val="00530277"/>
    <w:rsid w:val="00534381"/>
    <w:rsid w:val="0053758A"/>
    <w:rsid w:val="005437EE"/>
    <w:rsid w:val="0054605C"/>
    <w:rsid w:val="00546F15"/>
    <w:rsid w:val="00547621"/>
    <w:rsid w:val="005505E2"/>
    <w:rsid w:val="00551751"/>
    <w:rsid w:val="005528E6"/>
    <w:rsid w:val="00554B89"/>
    <w:rsid w:val="00554F30"/>
    <w:rsid w:val="0055636B"/>
    <w:rsid w:val="00561372"/>
    <w:rsid w:val="005613ED"/>
    <w:rsid w:val="005628D6"/>
    <w:rsid w:val="00563FBA"/>
    <w:rsid w:val="0056433A"/>
    <w:rsid w:val="005649E6"/>
    <w:rsid w:val="005650FF"/>
    <w:rsid w:val="0056616B"/>
    <w:rsid w:val="005664DA"/>
    <w:rsid w:val="005670EC"/>
    <w:rsid w:val="00572518"/>
    <w:rsid w:val="0057272D"/>
    <w:rsid w:val="0057334B"/>
    <w:rsid w:val="00573948"/>
    <w:rsid w:val="00574F79"/>
    <w:rsid w:val="00576CDF"/>
    <w:rsid w:val="0058004F"/>
    <w:rsid w:val="005800C5"/>
    <w:rsid w:val="00580231"/>
    <w:rsid w:val="00580C78"/>
    <w:rsid w:val="00583C83"/>
    <w:rsid w:val="005840CA"/>
    <w:rsid w:val="00585547"/>
    <w:rsid w:val="00586CD8"/>
    <w:rsid w:val="00593549"/>
    <w:rsid w:val="00595B6A"/>
    <w:rsid w:val="00596D1F"/>
    <w:rsid w:val="00597A17"/>
    <w:rsid w:val="005A2F1F"/>
    <w:rsid w:val="005A4667"/>
    <w:rsid w:val="005A5B74"/>
    <w:rsid w:val="005A700E"/>
    <w:rsid w:val="005B0F0C"/>
    <w:rsid w:val="005B2B87"/>
    <w:rsid w:val="005B44D7"/>
    <w:rsid w:val="005B58DD"/>
    <w:rsid w:val="005B6581"/>
    <w:rsid w:val="005B7350"/>
    <w:rsid w:val="005B7522"/>
    <w:rsid w:val="005C2969"/>
    <w:rsid w:val="005C54A2"/>
    <w:rsid w:val="005C5B5D"/>
    <w:rsid w:val="005D3B6B"/>
    <w:rsid w:val="005D5213"/>
    <w:rsid w:val="005D7EF0"/>
    <w:rsid w:val="005E210A"/>
    <w:rsid w:val="005E24F4"/>
    <w:rsid w:val="005E284B"/>
    <w:rsid w:val="005E3030"/>
    <w:rsid w:val="005E521D"/>
    <w:rsid w:val="005E709E"/>
    <w:rsid w:val="005F09DC"/>
    <w:rsid w:val="005F0A36"/>
    <w:rsid w:val="005F0DD3"/>
    <w:rsid w:val="005F1EE0"/>
    <w:rsid w:val="005F2269"/>
    <w:rsid w:val="005F2A7F"/>
    <w:rsid w:val="005F6219"/>
    <w:rsid w:val="006005F9"/>
    <w:rsid w:val="00606587"/>
    <w:rsid w:val="00606A30"/>
    <w:rsid w:val="00613C7C"/>
    <w:rsid w:val="00614339"/>
    <w:rsid w:val="00614390"/>
    <w:rsid w:val="00614E15"/>
    <w:rsid w:val="00615834"/>
    <w:rsid w:val="00616A33"/>
    <w:rsid w:val="00617037"/>
    <w:rsid w:val="00620CEC"/>
    <w:rsid w:val="006212B2"/>
    <w:rsid w:val="00621BE3"/>
    <w:rsid w:val="0062543D"/>
    <w:rsid w:val="00625BD3"/>
    <w:rsid w:val="00626498"/>
    <w:rsid w:val="006303F8"/>
    <w:rsid w:val="00631C99"/>
    <w:rsid w:val="00633AB2"/>
    <w:rsid w:val="00636799"/>
    <w:rsid w:val="00636891"/>
    <w:rsid w:val="00636AFD"/>
    <w:rsid w:val="00637AF6"/>
    <w:rsid w:val="00637D11"/>
    <w:rsid w:val="006412E7"/>
    <w:rsid w:val="00641D1D"/>
    <w:rsid w:val="0064537B"/>
    <w:rsid w:val="006469CC"/>
    <w:rsid w:val="0064783E"/>
    <w:rsid w:val="00651337"/>
    <w:rsid w:val="00655829"/>
    <w:rsid w:val="00655E93"/>
    <w:rsid w:val="006575D7"/>
    <w:rsid w:val="00660C16"/>
    <w:rsid w:val="00662AF8"/>
    <w:rsid w:val="00663348"/>
    <w:rsid w:val="00675CBD"/>
    <w:rsid w:val="006805A5"/>
    <w:rsid w:val="00680C5E"/>
    <w:rsid w:val="006812E4"/>
    <w:rsid w:val="0068250E"/>
    <w:rsid w:val="00684567"/>
    <w:rsid w:val="00684FBD"/>
    <w:rsid w:val="006852C5"/>
    <w:rsid w:val="0068675A"/>
    <w:rsid w:val="00687C24"/>
    <w:rsid w:val="006914B6"/>
    <w:rsid w:val="00693002"/>
    <w:rsid w:val="006966AD"/>
    <w:rsid w:val="006977C5"/>
    <w:rsid w:val="006A0D01"/>
    <w:rsid w:val="006A349B"/>
    <w:rsid w:val="006A6DA3"/>
    <w:rsid w:val="006A7B40"/>
    <w:rsid w:val="006B01C2"/>
    <w:rsid w:val="006B336B"/>
    <w:rsid w:val="006B34FD"/>
    <w:rsid w:val="006B3EE7"/>
    <w:rsid w:val="006B3EF3"/>
    <w:rsid w:val="006B4286"/>
    <w:rsid w:val="006B4F18"/>
    <w:rsid w:val="006B6ADB"/>
    <w:rsid w:val="006B778A"/>
    <w:rsid w:val="006C2785"/>
    <w:rsid w:val="006C2CE3"/>
    <w:rsid w:val="006C3F6C"/>
    <w:rsid w:val="006C63D5"/>
    <w:rsid w:val="006C679E"/>
    <w:rsid w:val="006C7D4E"/>
    <w:rsid w:val="006D0FF2"/>
    <w:rsid w:val="006D3652"/>
    <w:rsid w:val="006D3DEA"/>
    <w:rsid w:val="006D4809"/>
    <w:rsid w:val="006D5BA1"/>
    <w:rsid w:val="006D62E9"/>
    <w:rsid w:val="006D73CF"/>
    <w:rsid w:val="006D7942"/>
    <w:rsid w:val="006E1B6E"/>
    <w:rsid w:val="006E202A"/>
    <w:rsid w:val="006E2385"/>
    <w:rsid w:val="006E239E"/>
    <w:rsid w:val="006E56B6"/>
    <w:rsid w:val="006F1E5A"/>
    <w:rsid w:val="006F441A"/>
    <w:rsid w:val="006F656C"/>
    <w:rsid w:val="006F75A1"/>
    <w:rsid w:val="006F75AA"/>
    <w:rsid w:val="00701313"/>
    <w:rsid w:val="00701CF0"/>
    <w:rsid w:val="00701D86"/>
    <w:rsid w:val="00702474"/>
    <w:rsid w:val="007025A3"/>
    <w:rsid w:val="00704833"/>
    <w:rsid w:val="0070702F"/>
    <w:rsid w:val="007077B8"/>
    <w:rsid w:val="00712F68"/>
    <w:rsid w:val="007130BF"/>
    <w:rsid w:val="007136B0"/>
    <w:rsid w:val="007159B1"/>
    <w:rsid w:val="00721B34"/>
    <w:rsid w:val="00722A1A"/>
    <w:rsid w:val="00723194"/>
    <w:rsid w:val="00723597"/>
    <w:rsid w:val="0073175E"/>
    <w:rsid w:val="0073250F"/>
    <w:rsid w:val="0073356E"/>
    <w:rsid w:val="00736F1A"/>
    <w:rsid w:val="00737BE6"/>
    <w:rsid w:val="00745284"/>
    <w:rsid w:val="007455E8"/>
    <w:rsid w:val="00746006"/>
    <w:rsid w:val="007516E8"/>
    <w:rsid w:val="007519AA"/>
    <w:rsid w:val="007537D7"/>
    <w:rsid w:val="00753ECC"/>
    <w:rsid w:val="00754E3C"/>
    <w:rsid w:val="0075551A"/>
    <w:rsid w:val="0075611B"/>
    <w:rsid w:val="00757256"/>
    <w:rsid w:val="007619B4"/>
    <w:rsid w:val="0076362D"/>
    <w:rsid w:val="007638EB"/>
    <w:rsid w:val="00763ACF"/>
    <w:rsid w:val="00764BDB"/>
    <w:rsid w:val="00764E71"/>
    <w:rsid w:val="00767C8F"/>
    <w:rsid w:val="00772681"/>
    <w:rsid w:val="00772CC9"/>
    <w:rsid w:val="00772E5D"/>
    <w:rsid w:val="00774B08"/>
    <w:rsid w:val="00776431"/>
    <w:rsid w:val="00777A51"/>
    <w:rsid w:val="0078046F"/>
    <w:rsid w:val="007809E9"/>
    <w:rsid w:val="00780A18"/>
    <w:rsid w:val="00781221"/>
    <w:rsid w:val="00781A5E"/>
    <w:rsid w:val="007830A6"/>
    <w:rsid w:val="0078538B"/>
    <w:rsid w:val="00790FD6"/>
    <w:rsid w:val="00795839"/>
    <w:rsid w:val="007979DF"/>
    <w:rsid w:val="007A1A88"/>
    <w:rsid w:val="007A1C38"/>
    <w:rsid w:val="007A20E8"/>
    <w:rsid w:val="007A4D40"/>
    <w:rsid w:val="007A5FAB"/>
    <w:rsid w:val="007A717D"/>
    <w:rsid w:val="007A71D0"/>
    <w:rsid w:val="007B23F1"/>
    <w:rsid w:val="007B4AF5"/>
    <w:rsid w:val="007B637E"/>
    <w:rsid w:val="007B7247"/>
    <w:rsid w:val="007C189A"/>
    <w:rsid w:val="007C40CA"/>
    <w:rsid w:val="007D01C8"/>
    <w:rsid w:val="007D05D2"/>
    <w:rsid w:val="007D21EE"/>
    <w:rsid w:val="007D2EA5"/>
    <w:rsid w:val="007D413F"/>
    <w:rsid w:val="007D4DE0"/>
    <w:rsid w:val="007D761B"/>
    <w:rsid w:val="007E2CBE"/>
    <w:rsid w:val="007E2DBE"/>
    <w:rsid w:val="007E36EB"/>
    <w:rsid w:val="007E5A48"/>
    <w:rsid w:val="007F056D"/>
    <w:rsid w:val="007F0BD2"/>
    <w:rsid w:val="007F1226"/>
    <w:rsid w:val="007F359F"/>
    <w:rsid w:val="007F3A80"/>
    <w:rsid w:val="007F4D79"/>
    <w:rsid w:val="007F4F98"/>
    <w:rsid w:val="007F5021"/>
    <w:rsid w:val="007F68C3"/>
    <w:rsid w:val="00801381"/>
    <w:rsid w:val="00802F8D"/>
    <w:rsid w:val="00803785"/>
    <w:rsid w:val="00803ACB"/>
    <w:rsid w:val="00803DC6"/>
    <w:rsid w:val="008049C1"/>
    <w:rsid w:val="00805B0B"/>
    <w:rsid w:val="0080661A"/>
    <w:rsid w:val="008078A8"/>
    <w:rsid w:val="00807E02"/>
    <w:rsid w:val="0081127B"/>
    <w:rsid w:val="008135FB"/>
    <w:rsid w:val="00813B3E"/>
    <w:rsid w:val="0081494C"/>
    <w:rsid w:val="00816456"/>
    <w:rsid w:val="008177BD"/>
    <w:rsid w:val="00822258"/>
    <w:rsid w:val="00822367"/>
    <w:rsid w:val="00822A84"/>
    <w:rsid w:val="0082565D"/>
    <w:rsid w:val="008271FD"/>
    <w:rsid w:val="0082748B"/>
    <w:rsid w:val="008274B4"/>
    <w:rsid w:val="00827AF5"/>
    <w:rsid w:val="008307A4"/>
    <w:rsid w:val="008330B6"/>
    <w:rsid w:val="00833526"/>
    <w:rsid w:val="00833E25"/>
    <w:rsid w:val="00834D1C"/>
    <w:rsid w:val="0084105C"/>
    <w:rsid w:val="008437F6"/>
    <w:rsid w:val="00844219"/>
    <w:rsid w:val="008476EF"/>
    <w:rsid w:val="00850FDF"/>
    <w:rsid w:val="00852470"/>
    <w:rsid w:val="00853D79"/>
    <w:rsid w:val="00853E7E"/>
    <w:rsid w:val="008554B8"/>
    <w:rsid w:val="00855D59"/>
    <w:rsid w:val="008565C9"/>
    <w:rsid w:val="00857297"/>
    <w:rsid w:val="008663FD"/>
    <w:rsid w:val="00866AFC"/>
    <w:rsid w:val="0087208A"/>
    <w:rsid w:val="00873E00"/>
    <w:rsid w:val="00873F48"/>
    <w:rsid w:val="00874D1F"/>
    <w:rsid w:val="008751A7"/>
    <w:rsid w:val="00875397"/>
    <w:rsid w:val="00876299"/>
    <w:rsid w:val="008767E5"/>
    <w:rsid w:val="00880378"/>
    <w:rsid w:val="008804BC"/>
    <w:rsid w:val="00881ACD"/>
    <w:rsid w:val="0088295F"/>
    <w:rsid w:val="00883915"/>
    <w:rsid w:val="008854AB"/>
    <w:rsid w:val="008857E2"/>
    <w:rsid w:val="00886692"/>
    <w:rsid w:val="00893612"/>
    <w:rsid w:val="00895C6A"/>
    <w:rsid w:val="008A0102"/>
    <w:rsid w:val="008A328B"/>
    <w:rsid w:val="008A50D3"/>
    <w:rsid w:val="008A7A47"/>
    <w:rsid w:val="008B7791"/>
    <w:rsid w:val="008C00C1"/>
    <w:rsid w:val="008C0C42"/>
    <w:rsid w:val="008C1140"/>
    <w:rsid w:val="008C23AF"/>
    <w:rsid w:val="008C254E"/>
    <w:rsid w:val="008C42CE"/>
    <w:rsid w:val="008D1257"/>
    <w:rsid w:val="008D4716"/>
    <w:rsid w:val="008E2E18"/>
    <w:rsid w:val="008E3515"/>
    <w:rsid w:val="008E4500"/>
    <w:rsid w:val="008E6875"/>
    <w:rsid w:val="008E6A2D"/>
    <w:rsid w:val="008F5D67"/>
    <w:rsid w:val="008F62EF"/>
    <w:rsid w:val="008F6367"/>
    <w:rsid w:val="00900D7A"/>
    <w:rsid w:val="00901A24"/>
    <w:rsid w:val="00901D88"/>
    <w:rsid w:val="00902EDA"/>
    <w:rsid w:val="00903BB2"/>
    <w:rsid w:val="00904C7F"/>
    <w:rsid w:val="00907267"/>
    <w:rsid w:val="0091098E"/>
    <w:rsid w:val="00911782"/>
    <w:rsid w:val="0091466F"/>
    <w:rsid w:val="00914FA4"/>
    <w:rsid w:val="009205E3"/>
    <w:rsid w:val="009221B6"/>
    <w:rsid w:val="009221F7"/>
    <w:rsid w:val="00922E09"/>
    <w:rsid w:val="009232C3"/>
    <w:rsid w:val="00925C91"/>
    <w:rsid w:val="009262FB"/>
    <w:rsid w:val="00932293"/>
    <w:rsid w:val="0093353B"/>
    <w:rsid w:val="00933D48"/>
    <w:rsid w:val="00935FEF"/>
    <w:rsid w:val="00942681"/>
    <w:rsid w:val="0094304E"/>
    <w:rsid w:val="00944084"/>
    <w:rsid w:val="009449E6"/>
    <w:rsid w:val="00945890"/>
    <w:rsid w:val="00945AAB"/>
    <w:rsid w:val="0095200D"/>
    <w:rsid w:val="009520B6"/>
    <w:rsid w:val="00954603"/>
    <w:rsid w:val="0095587D"/>
    <w:rsid w:val="009573CA"/>
    <w:rsid w:val="00957A5B"/>
    <w:rsid w:val="009623AC"/>
    <w:rsid w:val="00962D0A"/>
    <w:rsid w:val="00963271"/>
    <w:rsid w:val="00963945"/>
    <w:rsid w:val="00964CEE"/>
    <w:rsid w:val="00966089"/>
    <w:rsid w:val="009720CA"/>
    <w:rsid w:val="00975C5E"/>
    <w:rsid w:val="009761AF"/>
    <w:rsid w:val="0097758E"/>
    <w:rsid w:val="00977C6D"/>
    <w:rsid w:val="00980DCF"/>
    <w:rsid w:val="0098130E"/>
    <w:rsid w:val="009831CE"/>
    <w:rsid w:val="009855AC"/>
    <w:rsid w:val="00985937"/>
    <w:rsid w:val="009868BE"/>
    <w:rsid w:val="00987A16"/>
    <w:rsid w:val="00992936"/>
    <w:rsid w:val="00992CF1"/>
    <w:rsid w:val="00993B14"/>
    <w:rsid w:val="0099746B"/>
    <w:rsid w:val="009A05BA"/>
    <w:rsid w:val="009B22EF"/>
    <w:rsid w:val="009B25F1"/>
    <w:rsid w:val="009B32CA"/>
    <w:rsid w:val="009B4D37"/>
    <w:rsid w:val="009B5577"/>
    <w:rsid w:val="009B61C1"/>
    <w:rsid w:val="009B683D"/>
    <w:rsid w:val="009B78C8"/>
    <w:rsid w:val="009C0BF3"/>
    <w:rsid w:val="009C1318"/>
    <w:rsid w:val="009C4677"/>
    <w:rsid w:val="009C4741"/>
    <w:rsid w:val="009C679B"/>
    <w:rsid w:val="009C728B"/>
    <w:rsid w:val="009D1362"/>
    <w:rsid w:val="009D2749"/>
    <w:rsid w:val="009D411E"/>
    <w:rsid w:val="009D630C"/>
    <w:rsid w:val="009D766D"/>
    <w:rsid w:val="009E3E2C"/>
    <w:rsid w:val="009E6ACB"/>
    <w:rsid w:val="009F1CE4"/>
    <w:rsid w:val="009F254E"/>
    <w:rsid w:val="009F4D0F"/>
    <w:rsid w:val="009F76ED"/>
    <w:rsid w:val="009F7C01"/>
    <w:rsid w:val="00A013B0"/>
    <w:rsid w:val="00A120BA"/>
    <w:rsid w:val="00A21243"/>
    <w:rsid w:val="00A216C6"/>
    <w:rsid w:val="00A219DA"/>
    <w:rsid w:val="00A22064"/>
    <w:rsid w:val="00A22575"/>
    <w:rsid w:val="00A22993"/>
    <w:rsid w:val="00A24114"/>
    <w:rsid w:val="00A30643"/>
    <w:rsid w:val="00A319AE"/>
    <w:rsid w:val="00A31A1C"/>
    <w:rsid w:val="00A32FE7"/>
    <w:rsid w:val="00A363E3"/>
    <w:rsid w:val="00A379D7"/>
    <w:rsid w:val="00A4274D"/>
    <w:rsid w:val="00A434F4"/>
    <w:rsid w:val="00A439B9"/>
    <w:rsid w:val="00A44748"/>
    <w:rsid w:val="00A44CF1"/>
    <w:rsid w:val="00A4603D"/>
    <w:rsid w:val="00A47933"/>
    <w:rsid w:val="00A47AE7"/>
    <w:rsid w:val="00A53E70"/>
    <w:rsid w:val="00A54D44"/>
    <w:rsid w:val="00A54FB1"/>
    <w:rsid w:val="00A554F9"/>
    <w:rsid w:val="00A5577A"/>
    <w:rsid w:val="00A602FF"/>
    <w:rsid w:val="00A613B8"/>
    <w:rsid w:val="00A61ABE"/>
    <w:rsid w:val="00A62248"/>
    <w:rsid w:val="00A6287D"/>
    <w:rsid w:val="00A636DD"/>
    <w:rsid w:val="00A64863"/>
    <w:rsid w:val="00A6604E"/>
    <w:rsid w:val="00A737C6"/>
    <w:rsid w:val="00A74193"/>
    <w:rsid w:val="00A74AD1"/>
    <w:rsid w:val="00A75447"/>
    <w:rsid w:val="00A76055"/>
    <w:rsid w:val="00A8042C"/>
    <w:rsid w:val="00A82CCF"/>
    <w:rsid w:val="00A82E1D"/>
    <w:rsid w:val="00A8396D"/>
    <w:rsid w:val="00A85D33"/>
    <w:rsid w:val="00A868EE"/>
    <w:rsid w:val="00A910D5"/>
    <w:rsid w:val="00A94CFF"/>
    <w:rsid w:val="00AA199F"/>
    <w:rsid w:val="00AA21D8"/>
    <w:rsid w:val="00AA3C41"/>
    <w:rsid w:val="00AA4D02"/>
    <w:rsid w:val="00AA688E"/>
    <w:rsid w:val="00AA7A61"/>
    <w:rsid w:val="00AB0415"/>
    <w:rsid w:val="00AB24F2"/>
    <w:rsid w:val="00AB4DDB"/>
    <w:rsid w:val="00AC05FA"/>
    <w:rsid w:val="00AC1B62"/>
    <w:rsid w:val="00AC3170"/>
    <w:rsid w:val="00AC72A8"/>
    <w:rsid w:val="00AD0300"/>
    <w:rsid w:val="00AD64A9"/>
    <w:rsid w:val="00AE0D13"/>
    <w:rsid w:val="00AE415C"/>
    <w:rsid w:val="00AE57D3"/>
    <w:rsid w:val="00AE6EB4"/>
    <w:rsid w:val="00AF739B"/>
    <w:rsid w:val="00AF7AFC"/>
    <w:rsid w:val="00B01A5C"/>
    <w:rsid w:val="00B02DFB"/>
    <w:rsid w:val="00B02FBE"/>
    <w:rsid w:val="00B042B9"/>
    <w:rsid w:val="00B046AE"/>
    <w:rsid w:val="00B05223"/>
    <w:rsid w:val="00B057DE"/>
    <w:rsid w:val="00B0786C"/>
    <w:rsid w:val="00B10D8B"/>
    <w:rsid w:val="00B132DA"/>
    <w:rsid w:val="00B15669"/>
    <w:rsid w:val="00B158E0"/>
    <w:rsid w:val="00B161BD"/>
    <w:rsid w:val="00B2220B"/>
    <w:rsid w:val="00B226B5"/>
    <w:rsid w:val="00B22E05"/>
    <w:rsid w:val="00B2637D"/>
    <w:rsid w:val="00B27CE9"/>
    <w:rsid w:val="00B317E5"/>
    <w:rsid w:val="00B3232A"/>
    <w:rsid w:val="00B34EBE"/>
    <w:rsid w:val="00B36A89"/>
    <w:rsid w:val="00B36BA3"/>
    <w:rsid w:val="00B37199"/>
    <w:rsid w:val="00B42254"/>
    <w:rsid w:val="00B4261F"/>
    <w:rsid w:val="00B42FA5"/>
    <w:rsid w:val="00B451D1"/>
    <w:rsid w:val="00B47CF1"/>
    <w:rsid w:val="00B5175D"/>
    <w:rsid w:val="00B52758"/>
    <w:rsid w:val="00B52A55"/>
    <w:rsid w:val="00B53D56"/>
    <w:rsid w:val="00B5492B"/>
    <w:rsid w:val="00B54DE2"/>
    <w:rsid w:val="00B60597"/>
    <w:rsid w:val="00B6405A"/>
    <w:rsid w:val="00B64EF6"/>
    <w:rsid w:val="00B81092"/>
    <w:rsid w:val="00B90A9C"/>
    <w:rsid w:val="00B9387C"/>
    <w:rsid w:val="00B93A6B"/>
    <w:rsid w:val="00B95866"/>
    <w:rsid w:val="00BA0D4E"/>
    <w:rsid w:val="00BA558A"/>
    <w:rsid w:val="00BA66A4"/>
    <w:rsid w:val="00BA6706"/>
    <w:rsid w:val="00BA6716"/>
    <w:rsid w:val="00BA7DD0"/>
    <w:rsid w:val="00BB182A"/>
    <w:rsid w:val="00BB2D15"/>
    <w:rsid w:val="00BB3D91"/>
    <w:rsid w:val="00BC24E0"/>
    <w:rsid w:val="00BC6C8B"/>
    <w:rsid w:val="00BC79E8"/>
    <w:rsid w:val="00BC7FDB"/>
    <w:rsid w:val="00BD0338"/>
    <w:rsid w:val="00BD11A7"/>
    <w:rsid w:val="00BD306B"/>
    <w:rsid w:val="00BD390B"/>
    <w:rsid w:val="00BD3D6B"/>
    <w:rsid w:val="00BD40A9"/>
    <w:rsid w:val="00BD5C0E"/>
    <w:rsid w:val="00BD7306"/>
    <w:rsid w:val="00BD7BFE"/>
    <w:rsid w:val="00BE1987"/>
    <w:rsid w:val="00BE3940"/>
    <w:rsid w:val="00BE4A37"/>
    <w:rsid w:val="00BE4FDF"/>
    <w:rsid w:val="00BF05EC"/>
    <w:rsid w:val="00BF6AC7"/>
    <w:rsid w:val="00C021F5"/>
    <w:rsid w:val="00C022CA"/>
    <w:rsid w:val="00C023BB"/>
    <w:rsid w:val="00C031C2"/>
    <w:rsid w:val="00C108D7"/>
    <w:rsid w:val="00C10E49"/>
    <w:rsid w:val="00C13EAE"/>
    <w:rsid w:val="00C14925"/>
    <w:rsid w:val="00C14C93"/>
    <w:rsid w:val="00C1699A"/>
    <w:rsid w:val="00C20A57"/>
    <w:rsid w:val="00C20FEA"/>
    <w:rsid w:val="00C2155E"/>
    <w:rsid w:val="00C227E5"/>
    <w:rsid w:val="00C22857"/>
    <w:rsid w:val="00C23212"/>
    <w:rsid w:val="00C26E32"/>
    <w:rsid w:val="00C26FB6"/>
    <w:rsid w:val="00C27E11"/>
    <w:rsid w:val="00C303EF"/>
    <w:rsid w:val="00C31041"/>
    <w:rsid w:val="00C321D3"/>
    <w:rsid w:val="00C33BF5"/>
    <w:rsid w:val="00C34133"/>
    <w:rsid w:val="00C36849"/>
    <w:rsid w:val="00C40403"/>
    <w:rsid w:val="00C40BDC"/>
    <w:rsid w:val="00C4602D"/>
    <w:rsid w:val="00C4691B"/>
    <w:rsid w:val="00C47ED9"/>
    <w:rsid w:val="00C53F29"/>
    <w:rsid w:val="00C54D35"/>
    <w:rsid w:val="00C54E49"/>
    <w:rsid w:val="00C62741"/>
    <w:rsid w:val="00C63496"/>
    <w:rsid w:val="00C703AF"/>
    <w:rsid w:val="00C70CA4"/>
    <w:rsid w:val="00C71A36"/>
    <w:rsid w:val="00C76C72"/>
    <w:rsid w:val="00C824A7"/>
    <w:rsid w:val="00C82932"/>
    <w:rsid w:val="00C82B44"/>
    <w:rsid w:val="00C835D2"/>
    <w:rsid w:val="00C8493F"/>
    <w:rsid w:val="00C91D8F"/>
    <w:rsid w:val="00C92EC8"/>
    <w:rsid w:val="00C93363"/>
    <w:rsid w:val="00C943B5"/>
    <w:rsid w:val="00C947D0"/>
    <w:rsid w:val="00C95CAA"/>
    <w:rsid w:val="00CA1F1E"/>
    <w:rsid w:val="00CA45C9"/>
    <w:rsid w:val="00CA588D"/>
    <w:rsid w:val="00CA77E7"/>
    <w:rsid w:val="00CB079B"/>
    <w:rsid w:val="00CB103A"/>
    <w:rsid w:val="00CB18EA"/>
    <w:rsid w:val="00CB1DF5"/>
    <w:rsid w:val="00CB1F18"/>
    <w:rsid w:val="00CB223C"/>
    <w:rsid w:val="00CB230C"/>
    <w:rsid w:val="00CB60CD"/>
    <w:rsid w:val="00CB718B"/>
    <w:rsid w:val="00CC2C76"/>
    <w:rsid w:val="00CC51E0"/>
    <w:rsid w:val="00CD0C95"/>
    <w:rsid w:val="00CD28C2"/>
    <w:rsid w:val="00CD340C"/>
    <w:rsid w:val="00CD630C"/>
    <w:rsid w:val="00CD6EC2"/>
    <w:rsid w:val="00CD79C0"/>
    <w:rsid w:val="00CE0809"/>
    <w:rsid w:val="00CE1803"/>
    <w:rsid w:val="00CE2382"/>
    <w:rsid w:val="00CE42D6"/>
    <w:rsid w:val="00CE4F1D"/>
    <w:rsid w:val="00CE55E7"/>
    <w:rsid w:val="00CF100A"/>
    <w:rsid w:val="00CF2B99"/>
    <w:rsid w:val="00CF2E85"/>
    <w:rsid w:val="00CF34EC"/>
    <w:rsid w:val="00CF36D7"/>
    <w:rsid w:val="00CF44BC"/>
    <w:rsid w:val="00CF516C"/>
    <w:rsid w:val="00CF6844"/>
    <w:rsid w:val="00CF74DF"/>
    <w:rsid w:val="00D007A8"/>
    <w:rsid w:val="00D00C82"/>
    <w:rsid w:val="00D0157F"/>
    <w:rsid w:val="00D018EC"/>
    <w:rsid w:val="00D027B2"/>
    <w:rsid w:val="00D0492D"/>
    <w:rsid w:val="00D054CB"/>
    <w:rsid w:val="00D073A0"/>
    <w:rsid w:val="00D07D1A"/>
    <w:rsid w:val="00D10080"/>
    <w:rsid w:val="00D106B0"/>
    <w:rsid w:val="00D106F0"/>
    <w:rsid w:val="00D10A7C"/>
    <w:rsid w:val="00D1205C"/>
    <w:rsid w:val="00D1264A"/>
    <w:rsid w:val="00D16E9E"/>
    <w:rsid w:val="00D20DC1"/>
    <w:rsid w:val="00D21907"/>
    <w:rsid w:val="00D24AD4"/>
    <w:rsid w:val="00D25F2C"/>
    <w:rsid w:val="00D26091"/>
    <w:rsid w:val="00D276FD"/>
    <w:rsid w:val="00D31225"/>
    <w:rsid w:val="00D31B88"/>
    <w:rsid w:val="00D328EA"/>
    <w:rsid w:val="00D32BD4"/>
    <w:rsid w:val="00D331E7"/>
    <w:rsid w:val="00D33DD4"/>
    <w:rsid w:val="00D341A4"/>
    <w:rsid w:val="00D3449D"/>
    <w:rsid w:val="00D3790A"/>
    <w:rsid w:val="00D4019A"/>
    <w:rsid w:val="00D412AE"/>
    <w:rsid w:val="00D4175C"/>
    <w:rsid w:val="00D41A81"/>
    <w:rsid w:val="00D4264D"/>
    <w:rsid w:val="00D42B6C"/>
    <w:rsid w:val="00D4363F"/>
    <w:rsid w:val="00D46128"/>
    <w:rsid w:val="00D47B6B"/>
    <w:rsid w:val="00D5023F"/>
    <w:rsid w:val="00D511D0"/>
    <w:rsid w:val="00D5168E"/>
    <w:rsid w:val="00D518BF"/>
    <w:rsid w:val="00D64032"/>
    <w:rsid w:val="00D65D5B"/>
    <w:rsid w:val="00D701DA"/>
    <w:rsid w:val="00D70501"/>
    <w:rsid w:val="00D77016"/>
    <w:rsid w:val="00D770CE"/>
    <w:rsid w:val="00D7795B"/>
    <w:rsid w:val="00D82339"/>
    <w:rsid w:val="00D8651F"/>
    <w:rsid w:val="00D86617"/>
    <w:rsid w:val="00D86660"/>
    <w:rsid w:val="00D87BF0"/>
    <w:rsid w:val="00D94630"/>
    <w:rsid w:val="00D953FF"/>
    <w:rsid w:val="00DA04D9"/>
    <w:rsid w:val="00DA07E9"/>
    <w:rsid w:val="00DA0E77"/>
    <w:rsid w:val="00DA18B7"/>
    <w:rsid w:val="00DA2C50"/>
    <w:rsid w:val="00DA3BF0"/>
    <w:rsid w:val="00DA4CAF"/>
    <w:rsid w:val="00DA5774"/>
    <w:rsid w:val="00DA6132"/>
    <w:rsid w:val="00DA7AB1"/>
    <w:rsid w:val="00DB0765"/>
    <w:rsid w:val="00DB0EE9"/>
    <w:rsid w:val="00DB1634"/>
    <w:rsid w:val="00DB173B"/>
    <w:rsid w:val="00DB2F5C"/>
    <w:rsid w:val="00DB4A39"/>
    <w:rsid w:val="00DB4C77"/>
    <w:rsid w:val="00DB6D64"/>
    <w:rsid w:val="00DB7189"/>
    <w:rsid w:val="00DB766B"/>
    <w:rsid w:val="00DB7970"/>
    <w:rsid w:val="00DC10DB"/>
    <w:rsid w:val="00DC1AB0"/>
    <w:rsid w:val="00DC2A7F"/>
    <w:rsid w:val="00DC62D6"/>
    <w:rsid w:val="00DC7CB9"/>
    <w:rsid w:val="00DD03AC"/>
    <w:rsid w:val="00DD0485"/>
    <w:rsid w:val="00DD11DD"/>
    <w:rsid w:val="00DD69BE"/>
    <w:rsid w:val="00DD7214"/>
    <w:rsid w:val="00DE044C"/>
    <w:rsid w:val="00DE2073"/>
    <w:rsid w:val="00DE29E9"/>
    <w:rsid w:val="00DE2ECD"/>
    <w:rsid w:val="00DE5EBE"/>
    <w:rsid w:val="00DE6125"/>
    <w:rsid w:val="00DE66BC"/>
    <w:rsid w:val="00DE681D"/>
    <w:rsid w:val="00DF029D"/>
    <w:rsid w:val="00DF0D90"/>
    <w:rsid w:val="00DF1AAF"/>
    <w:rsid w:val="00DF1ECE"/>
    <w:rsid w:val="00DF2276"/>
    <w:rsid w:val="00DF2567"/>
    <w:rsid w:val="00DF283D"/>
    <w:rsid w:val="00DF4855"/>
    <w:rsid w:val="00E0141C"/>
    <w:rsid w:val="00E02070"/>
    <w:rsid w:val="00E023A5"/>
    <w:rsid w:val="00E03106"/>
    <w:rsid w:val="00E0348D"/>
    <w:rsid w:val="00E06FF4"/>
    <w:rsid w:val="00E07E64"/>
    <w:rsid w:val="00E10A1F"/>
    <w:rsid w:val="00E1209D"/>
    <w:rsid w:val="00E123FA"/>
    <w:rsid w:val="00E140C8"/>
    <w:rsid w:val="00E14AD5"/>
    <w:rsid w:val="00E15711"/>
    <w:rsid w:val="00E2023F"/>
    <w:rsid w:val="00E2056F"/>
    <w:rsid w:val="00E21D89"/>
    <w:rsid w:val="00E22AC2"/>
    <w:rsid w:val="00E230F8"/>
    <w:rsid w:val="00E279C3"/>
    <w:rsid w:val="00E308B4"/>
    <w:rsid w:val="00E4329C"/>
    <w:rsid w:val="00E44A9E"/>
    <w:rsid w:val="00E465F8"/>
    <w:rsid w:val="00E4781E"/>
    <w:rsid w:val="00E544A3"/>
    <w:rsid w:val="00E563B7"/>
    <w:rsid w:val="00E56BC9"/>
    <w:rsid w:val="00E57562"/>
    <w:rsid w:val="00E576B7"/>
    <w:rsid w:val="00E6027D"/>
    <w:rsid w:val="00E60A48"/>
    <w:rsid w:val="00E632FA"/>
    <w:rsid w:val="00E67416"/>
    <w:rsid w:val="00E7036F"/>
    <w:rsid w:val="00E70E35"/>
    <w:rsid w:val="00E71A11"/>
    <w:rsid w:val="00E765E2"/>
    <w:rsid w:val="00E774F3"/>
    <w:rsid w:val="00E812B2"/>
    <w:rsid w:val="00E81B47"/>
    <w:rsid w:val="00E82654"/>
    <w:rsid w:val="00E82EEB"/>
    <w:rsid w:val="00E83DA2"/>
    <w:rsid w:val="00E87B94"/>
    <w:rsid w:val="00E90924"/>
    <w:rsid w:val="00E91027"/>
    <w:rsid w:val="00E92323"/>
    <w:rsid w:val="00E92448"/>
    <w:rsid w:val="00EA1103"/>
    <w:rsid w:val="00EA5501"/>
    <w:rsid w:val="00EA6407"/>
    <w:rsid w:val="00EA6722"/>
    <w:rsid w:val="00EB011C"/>
    <w:rsid w:val="00EB0B60"/>
    <w:rsid w:val="00EB213C"/>
    <w:rsid w:val="00EB2C6D"/>
    <w:rsid w:val="00EB5329"/>
    <w:rsid w:val="00EB53B0"/>
    <w:rsid w:val="00EC43E8"/>
    <w:rsid w:val="00EC44DB"/>
    <w:rsid w:val="00EC732D"/>
    <w:rsid w:val="00EC787E"/>
    <w:rsid w:val="00ED0C64"/>
    <w:rsid w:val="00ED1858"/>
    <w:rsid w:val="00ED248E"/>
    <w:rsid w:val="00ED43AC"/>
    <w:rsid w:val="00ED48F1"/>
    <w:rsid w:val="00ED4B85"/>
    <w:rsid w:val="00ED7522"/>
    <w:rsid w:val="00EE2E02"/>
    <w:rsid w:val="00EE435A"/>
    <w:rsid w:val="00EE5C30"/>
    <w:rsid w:val="00EE69EC"/>
    <w:rsid w:val="00EE6ECF"/>
    <w:rsid w:val="00EE7382"/>
    <w:rsid w:val="00EE789C"/>
    <w:rsid w:val="00EF12A0"/>
    <w:rsid w:val="00EF3452"/>
    <w:rsid w:val="00EF4018"/>
    <w:rsid w:val="00EF4BD7"/>
    <w:rsid w:val="00EF5C95"/>
    <w:rsid w:val="00F01BE4"/>
    <w:rsid w:val="00F02EF1"/>
    <w:rsid w:val="00F06ABC"/>
    <w:rsid w:val="00F071EB"/>
    <w:rsid w:val="00F104CF"/>
    <w:rsid w:val="00F108B5"/>
    <w:rsid w:val="00F10A27"/>
    <w:rsid w:val="00F14497"/>
    <w:rsid w:val="00F156ED"/>
    <w:rsid w:val="00F15D59"/>
    <w:rsid w:val="00F1781E"/>
    <w:rsid w:val="00F17C14"/>
    <w:rsid w:val="00F22356"/>
    <w:rsid w:val="00F25F60"/>
    <w:rsid w:val="00F26384"/>
    <w:rsid w:val="00F3243E"/>
    <w:rsid w:val="00F32812"/>
    <w:rsid w:val="00F333C0"/>
    <w:rsid w:val="00F33600"/>
    <w:rsid w:val="00F34FF4"/>
    <w:rsid w:val="00F36714"/>
    <w:rsid w:val="00F40EF7"/>
    <w:rsid w:val="00F41270"/>
    <w:rsid w:val="00F42393"/>
    <w:rsid w:val="00F442F7"/>
    <w:rsid w:val="00F4546D"/>
    <w:rsid w:val="00F455BD"/>
    <w:rsid w:val="00F51191"/>
    <w:rsid w:val="00F51D6A"/>
    <w:rsid w:val="00F53C4F"/>
    <w:rsid w:val="00F55122"/>
    <w:rsid w:val="00F564F8"/>
    <w:rsid w:val="00F5679B"/>
    <w:rsid w:val="00F609D6"/>
    <w:rsid w:val="00F62BCD"/>
    <w:rsid w:val="00F63556"/>
    <w:rsid w:val="00F676B4"/>
    <w:rsid w:val="00F72FAE"/>
    <w:rsid w:val="00F7403E"/>
    <w:rsid w:val="00F74BBB"/>
    <w:rsid w:val="00F75170"/>
    <w:rsid w:val="00F75D61"/>
    <w:rsid w:val="00F75EBE"/>
    <w:rsid w:val="00F7734E"/>
    <w:rsid w:val="00F77609"/>
    <w:rsid w:val="00F77D74"/>
    <w:rsid w:val="00F80599"/>
    <w:rsid w:val="00F812DA"/>
    <w:rsid w:val="00F818C9"/>
    <w:rsid w:val="00F82125"/>
    <w:rsid w:val="00F8286B"/>
    <w:rsid w:val="00F843D2"/>
    <w:rsid w:val="00F87726"/>
    <w:rsid w:val="00F91473"/>
    <w:rsid w:val="00F92513"/>
    <w:rsid w:val="00F97F52"/>
    <w:rsid w:val="00FA2391"/>
    <w:rsid w:val="00FA2D09"/>
    <w:rsid w:val="00FA3207"/>
    <w:rsid w:val="00FA3765"/>
    <w:rsid w:val="00FA6E49"/>
    <w:rsid w:val="00FB1ADD"/>
    <w:rsid w:val="00FB2145"/>
    <w:rsid w:val="00FB2AB5"/>
    <w:rsid w:val="00FB6B43"/>
    <w:rsid w:val="00FB6B5A"/>
    <w:rsid w:val="00FB7DAD"/>
    <w:rsid w:val="00FC0654"/>
    <w:rsid w:val="00FC1E26"/>
    <w:rsid w:val="00FC2E49"/>
    <w:rsid w:val="00FD39E0"/>
    <w:rsid w:val="00FD4B2B"/>
    <w:rsid w:val="00FD52BE"/>
    <w:rsid w:val="00FD7BE6"/>
    <w:rsid w:val="00FE2018"/>
    <w:rsid w:val="00FE41BE"/>
    <w:rsid w:val="00FE679D"/>
    <w:rsid w:val="00FE7D3F"/>
    <w:rsid w:val="00FF0B8F"/>
    <w:rsid w:val="00FF1A9D"/>
    <w:rsid w:val="00FF222D"/>
    <w:rsid w:val="00FF49C3"/>
    <w:rsid w:val="00FF4C93"/>
    <w:rsid w:val="00FF4FEB"/>
    <w:rsid w:val="00FF6F90"/>
    <w:rsid w:val="04632D00"/>
    <w:rsid w:val="07584EEC"/>
    <w:rsid w:val="07AF5666"/>
    <w:rsid w:val="09037B04"/>
    <w:rsid w:val="0B84295E"/>
    <w:rsid w:val="1BE85890"/>
    <w:rsid w:val="1CB06696"/>
    <w:rsid w:val="20632B87"/>
    <w:rsid w:val="22C75889"/>
    <w:rsid w:val="2413380D"/>
    <w:rsid w:val="2E37340B"/>
    <w:rsid w:val="30A46941"/>
    <w:rsid w:val="34433D9B"/>
    <w:rsid w:val="356A6CD7"/>
    <w:rsid w:val="3A6B7341"/>
    <w:rsid w:val="3EE7061E"/>
    <w:rsid w:val="3FC86B14"/>
    <w:rsid w:val="40181083"/>
    <w:rsid w:val="42374D8B"/>
    <w:rsid w:val="429E220A"/>
    <w:rsid w:val="438B4776"/>
    <w:rsid w:val="45955050"/>
    <w:rsid w:val="479C559B"/>
    <w:rsid w:val="49926597"/>
    <w:rsid w:val="4C0C46F7"/>
    <w:rsid w:val="4D103B7E"/>
    <w:rsid w:val="4EB26834"/>
    <w:rsid w:val="4F3B78F7"/>
    <w:rsid w:val="56161A46"/>
    <w:rsid w:val="5699478A"/>
    <w:rsid w:val="57F7538D"/>
    <w:rsid w:val="59954321"/>
    <w:rsid w:val="5A2B6A72"/>
    <w:rsid w:val="5BF24A06"/>
    <w:rsid w:val="5C6F5D42"/>
    <w:rsid w:val="5D5F186C"/>
    <w:rsid w:val="5DA723B5"/>
    <w:rsid w:val="5E7A42AD"/>
    <w:rsid w:val="5ED4485F"/>
    <w:rsid w:val="6187441D"/>
    <w:rsid w:val="626C74CD"/>
    <w:rsid w:val="63F43D7F"/>
    <w:rsid w:val="66523452"/>
    <w:rsid w:val="67D740DB"/>
    <w:rsid w:val="6C1C0082"/>
    <w:rsid w:val="6D0F3525"/>
    <w:rsid w:val="72655283"/>
    <w:rsid w:val="784C229B"/>
    <w:rsid w:val="793E4384"/>
    <w:rsid w:val="7DCB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6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33"/>
    <w:semiHidden/>
    <w:unhideWhenUsed/>
    <w:qFormat/>
    <w:uiPriority w:val="99"/>
    <w:pPr>
      <w:jc w:val="left"/>
    </w:pPr>
  </w:style>
  <w:style w:type="paragraph" w:styleId="6">
    <w:name w:val="Plain Text"/>
    <w:basedOn w:val="1"/>
    <w:link w:val="32"/>
    <w:qFormat/>
    <w:uiPriority w:val="0"/>
    <w:rPr>
      <w:rFonts w:ascii="宋体" w:hAnsi="Courier New" w:eastAsia="宋体" w:cs="Courier New"/>
      <w:szCs w:val="21"/>
    </w:rPr>
  </w:style>
  <w:style w:type="paragraph" w:styleId="7">
    <w:name w:val="Balloon Text"/>
    <w:basedOn w:val="1"/>
    <w:link w:val="30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annotation subject"/>
    <w:basedOn w:val="5"/>
    <w:next w:val="5"/>
    <w:link w:val="34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Emphasis"/>
    <w:basedOn w:val="13"/>
    <w:qFormat/>
    <w:uiPriority w:val="20"/>
    <w:rPr>
      <w:i/>
      <w:iCs/>
    </w:rPr>
  </w:style>
  <w:style w:type="character" w:styleId="15">
    <w:name w:val="Hyperlink"/>
    <w:basedOn w:val="13"/>
    <w:semiHidden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7">
    <w:name w:val="页眉 Char"/>
    <w:basedOn w:val="13"/>
    <w:link w:val="9"/>
    <w:qFormat/>
    <w:uiPriority w:val="99"/>
    <w:rPr>
      <w:sz w:val="18"/>
      <w:szCs w:val="18"/>
    </w:rPr>
  </w:style>
  <w:style w:type="character" w:customStyle="1" w:styleId="18">
    <w:name w:val="页脚 Char"/>
    <w:basedOn w:val="13"/>
    <w:link w:val="8"/>
    <w:qFormat/>
    <w:uiPriority w:val="99"/>
    <w:rPr>
      <w:sz w:val="18"/>
      <w:szCs w:val="18"/>
    </w:rPr>
  </w:style>
  <w:style w:type="paragraph" w:customStyle="1" w:styleId="19">
    <w:name w:val="书目1"/>
    <w:basedOn w:val="1"/>
    <w:next w:val="1"/>
    <w:unhideWhenUsed/>
    <w:qFormat/>
    <w:uiPriority w:val="37"/>
    <w:pPr>
      <w:tabs>
        <w:tab w:val="left" w:pos="504"/>
      </w:tabs>
      <w:ind w:left="504" w:hanging="504"/>
    </w:pPr>
  </w:style>
  <w:style w:type="character" w:customStyle="1" w:styleId="20">
    <w:name w:val="tgt"/>
    <w:basedOn w:val="13"/>
    <w:qFormat/>
    <w:uiPriority w:val="0"/>
  </w:style>
  <w:style w:type="character" w:customStyle="1" w:styleId="21">
    <w:name w:val="标题 1 Char"/>
    <w:basedOn w:val="13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2">
    <w:name w:val="标题 2 Char"/>
    <w:basedOn w:val="13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styleId="24">
    <w:name w:val="Placeholder Text"/>
    <w:basedOn w:val="13"/>
    <w:semiHidden/>
    <w:qFormat/>
    <w:uiPriority w:val="99"/>
    <w:rPr>
      <w:color w:val="808080"/>
    </w:rPr>
  </w:style>
  <w:style w:type="character" w:customStyle="1" w:styleId="25">
    <w:name w:val="jlqj4b"/>
    <w:basedOn w:val="13"/>
    <w:qFormat/>
    <w:uiPriority w:val="0"/>
  </w:style>
  <w:style w:type="character" w:customStyle="1" w:styleId="26">
    <w:name w:val="标题 3 Char"/>
    <w:basedOn w:val="13"/>
    <w:link w:val="4"/>
    <w:semiHidden/>
    <w:qFormat/>
    <w:uiPriority w:val="9"/>
    <w:rPr>
      <w:b/>
      <w:bCs/>
      <w:sz w:val="32"/>
      <w:szCs w:val="32"/>
    </w:rPr>
  </w:style>
  <w:style w:type="table" w:customStyle="1" w:styleId="27">
    <w:name w:val="网格型1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kgnlhe"/>
    <w:basedOn w:val="13"/>
    <w:qFormat/>
    <w:uiPriority w:val="0"/>
  </w:style>
  <w:style w:type="table" w:customStyle="1" w:styleId="29">
    <w:name w:val="网格型2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批注框文本 Char"/>
    <w:basedOn w:val="13"/>
    <w:link w:val="7"/>
    <w:semiHidden/>
    <w:qFormat/>
    <w:uiPriority w:val="99"/>
    <w:rPr>
      <w:sz w:val="18"/>
      <w:szCs w:val="18"/>
    </w:rPr>
  </w:style>
  <w:style w:type="character" w:customStyle="1" w:styleId="31">
    <w:name w:val="纯文本 字符"/>
    <w:basedOn w:val="13"/>
    <w:semiHidden/>
    <w:qFormat/>
    <w:uiPriority w:val="99"/>
    <w:rPr>
      <w:rFonts w:hAnsi="Courier New" w:cs="Courier New" w:asciiTheme="minorEastAsia"/>
    </w:rPr>
  </w:style>
  <w:style w:type="character" w:customStyle="1" w:styleId="32">
    <w:name w:val="纯文本 Char"/>
    <w:link w:val="6"/>
    <w:qFormat/>
    <w:uiPriority w:val="0"/>
    <w:rPr>
      <w:rFonts w:ascii="宋体" w:hAnsi="Courier New" w:eastAsia="宋体" w:cs="Courier New"/>
      <w:szCs w:val="21"/>
    </w:rPr>
  </w:style>
  <w:style w:type="character" w:customStyle="1" w:styleId="33">
    <w:name w:val="批注文字 Char"/>
    <w:basedOn w:val="13"/>
    <w:link w:val="5"/>
    <w:semiHidden/>
    <w:qFormat/>
    <w:uiPriority w:val="99"/>
  </w:style>
  <w:style w:type="character" w:customStyle="1" w:styleId="34">
    <w:name w:val="批注主题 Char"/>
    <w:basedOn w:val="33"/>
    <w:link w:val="10"/>
    <w:semiHidden/>
    <w:qFormat/>
    <w:uiPriority w:val="99"/>
    <w:rPr>
      <w:b/>
      <w:bCs/>
    </w:rPr>
  </w:style>
  <w:style w:type="character" w:customStyle="1" w:styleId="35">
    <w:name w:val="tran"/>
    <w:basedOn w:val="13"/>
    <w:qFormat/>
    <w:uiPriority w:val="0"/>
  </w:style>
  <w:style w:type="character" w:customStyle="1" w:styleId="36">
    <w:name w:val="apple-converted-space"/>
    <w:basedOn w:val="13"/>
    <w:qFormat/>
    <w:uiPriority w:val="0"/>
  </w:style>
  <w:style w:type="paragraph" w:customStyle="1" w:styleId="37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3.bin"/><Relationship Id="rId8" Type="http://schemas.openxmlformats.org/officeDocument/2006/relationships/image" Target="media/image2.emf"/><Relationship Id="rId7" Type="http://schemas.openxmlformats.org/officeDocument/2006/relationships/oleObject" Target="embeddings/oleObject2.bin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1" Type="http://schemas.openxmlformats.org/officeDocument/2006/relationships/fontTable" Target="fontTable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7.emf"/><Relationship Id="rId17" Type="http://schemas.openxmlformats.org/officeDocument/2006/relationships/oleObject" Target="embeddings/oleObject7.bin"/><Relationship Id="rId16" Type="http://schemas.openxmlformats.org/officeDocument/2006/relationships/image" Target="media/image6.emf"/><Relationship Id="rId15" Type="http://schemas.openxmlformats.org/officeDocument/2006/relationships/oleObject" Target="embeddings/oleObject6.bin"/><Relationship Id="rId14" Type="http://schemas.openxmlformats.org/officeDocument/2006/relationships/image" Target="media/image5.emf"/><Relationship Id="rId13" Type="http://schemas.openxmlformats.org/officeDocument/2006/relationships/oleObject" Target="embeddings/oleObject5.bin"/><Relationship Id="rId12" Type="http://schemas.openxmlformats.org/officeDocument/2006/relationships/image" Target="media/image4.emf"/><Relationship Id="rId11" Type="http://schemas.openxmlformats.org/officeDocument/2006/relationships/oleObject" Target="embeddings/oleObject4.bin"/><Relationship Id="rId10" Type="http://schemas.openxmlformats.org/officeDocument/2006/relationships/image" Target="media/image3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BC953E-0C61-444B-9248-393A69DED5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17</Pages>
  <Words>1921</Words>
  <Characters>10953</Characters>
  <Lines>91</Lines>
  <Paragraphs>25</Paragraphs>
  <TotalTime>4</TotalTime>
  <ScaleCrop>false</ScaleCrop>
  <LinksUpToDate>false</LinksUpToDate>
  <CharactersWithSpaces>12849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2021-09-15T13:35:00Z</dcterms:created>
  <dc:creator>liu lejun</dc:creator>
  <cp:lastModifiedBy> xiao shao</cp:lastModifiedBy>
  <dcterms:modified xsi:type="dcterms:W3CDTF">2022-01-24T05:56:43Z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zotero-version="5.0.96.2"&gt;&lt;session id="xqXi0xvb"/&gt;&lt;style id="http://www.zotero.org/styles/american-chemical-society" hasBibliography="1" bibliographyStyleHasBeenSet="1"/&gt;&lt;prefs&gt;&lt;pref name="fieldType" value="Field"/&gt;&lt;pref name="delay</vt:lpwstr>
  </property>
  <property fmtid="{D5CDD505-2E9C-101B-9397-08002B2CF9AE}" pid="3" name="ZOTERO_PREF_2">
    <vt:lpwstr>CitationUpdates" value="true"/&gt;&lt;/prefs&gt;&lt;/data&gt;</vt:lpwstr>
  </property>
  <property fmtid="{D5CDD505-2E9C-101B-9397-08002B2CF9AE}" pid="4" name="KSOProductBuildVer">
    <vt:lpwstr>2052-11.1.0.11294</vt:lpwstr>
  </property>
  <property fmtid="{D5CDD505-2E9C-101B-9397-08002B2CF9AE}" pid="5" name="ICV">
    <vt:lpwstr>BC050C2A34C74BC48D5405F4E1F9D55E</vt:lpwstr>
  </property>
</Properties>
</file>