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806C4" w14:textId="77777777" w:rsidR="001A33C7" w:rsidRPr="002569F0" w:rsidRDefault="001A33C7" w:rsidP="001A33C7">
      <w:pPr>
        <w:pStyle w:val="Titre2"/>
        <w:rPr>
          <w:rFonts w:eastAsia="Calibri"/>
          <w:szCs w:val="22"/>
        </w:rPr>
      </w:pPr>
      <w:bookmarkStart w:id="0" w:name="_Toc88434834"/>
      <w:bookmarkStart w:id="1" w:name="_Toc88435112"/>
      <w:bookmarkStart w:id="2" w:name="_Toc88589734"/>
      <w:r>
        <w:rPr>
          <w:rFonts w:eastAsia="Calibri"/>
          <w:szCs w:val="22"/>
        </w:rPr>
        <w:t>Supplementary material</w:t>
      </w:r>
      <w:r w:rsidRPr="002569F0">
        <w:rPr>
          <w:rFonts w:eastAsia="Calibri"/>
          <w:szCs w:val="22"/>
        </w:rPr>
        <w:t xml:space="preserve"> VII: </w:t>
      </w:r>
      <w:r w:rsidRPr="002569F0">
        <w:rPr>
          <w:szCs w:val="22"/>
        </w:rPr>
        <w:t>Sensitivity analysis</w:t>
      </w:r>
      <w:bookmarkEnd w:id="0"/>
      <w:bookmarkEnd w:id="1"/>
      <w:bookmarkEnd w:id="2"/>
    </w:p>
    <w:p w14:paraId="4CB84E64" w14:textId="0216FB28" w:rsidR="001A33C7" w:rsidRPr="002569F0" w:rsidRDefault="001A33C7" w:rsidP="001A33C7">
      <w:pPr>
        <w:pStyle w:val="Sous-titre"/>
        <w:rPr>
          <w:szCs w:val="22"/>
        </w:rPr>
      </w:pPr>
      <w:bookmarkStart w:id="3" w:name="_Toc88642160"/>
      <w:r w:rsidRPr="002569F0">
        <w:rPr>
          <w:szCs w:val="22"/>
        </w:rPr>
        <w:t>Table</w:t>
      </w:r>
      <w:r>
        <w:rPr>
          <w:szCs w:val="22"/>
        </w:rPr>
        <w:t xml:space="preserve"> 1</w:t>
      </w:r>
      <w:r w:rsidRPr="002569F0">
        <w:rPr>
          <w:szCs w:val="22"/>
        </w:rPr>
        <w:t xml:space="preserve">. KAP 12 score PSM sensitivity analysis using Rosenbaum Sensitivity Test for Wilcoxon signed rank </w:t>
      </w:r>
      <w:proofErr w:type="spellStart"/>
      <w:r w:rsidRPr="002569F0">
        <w:rPr>
          <w:szCs w:val="22"/>
        </w:rPr>
        <w:t>p.value</w:t>
      </w:r>
      <w:bookmarkEnd w:id="3"/>
      <w:proofErr w:type="spellEnd"/>
      <w:r w:rsidRPr="002569F0">
        <w:rPr>
          <w:szCs w:val="22"/>
        </w:rPr>
        <w:t xml:space="preserve"> </w:t>
      </w:r>
    </w:p>
    <w:tbl>
      <w:tblPr>
        <w:tblStyle w:val="TableauGrille4-Accentuation31"/>
        <w:tblW w:w="4820" w:type="dxa"/>
        <w:tblInd w:w="-5" w:type="dxa"/>
        <w:tblLook w:val="04A0" w:firstRow="1" w:lastRow="0" w:firstColumn="1" w:lastColumn="0" w:noHBand="0" w:noVBand="1"/>
      </w:tblPr>
      <w:tblGrid>
        <w:gridCol w:w="4820"/>
      </w:tblGrid>
      <w:tr w:rsidR="001A33C7" w:rsidRPr="002569F0" w14:paraId="16677D7C" w14:textId="77777777" w:rsidTr="00D900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shd w:val="clear" w:color="auto" w:fill="D0CECE" w:themeFill="background2" w:themeFillShade="E6"/>
            <w:noWrap/>
            <w:vAlign w:val="center"/>
            <w:hideMark/>
          </w:tcPr>
          <w:p w14:paraId="55A42D37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569F0">
              <w:rPr>
                <w:color w:val="000000" w:themeColor="text1"/>
                <w:sz w:val="22"/>
                <w:szCs w:val="22"/>
              </w:rPr>
              <w:t>Γ</w:t>
            </w:r>
            <w:r w:rsidRPr="002569F0">
              <w:rPr>
                <w:color w:val="000000" w:themeColor="text1"/>
                <w:sz w:val="22"/>
                <w:szCs w:val="22"/>
                <w:lang w:val="en-US"/>
              </w:rPr>
              <w:t xml:space="preserve">  </w:t>
            </w:r>
            <w:r w:rsidRPr="002569F0">
              <w:rPr>
                <w:color w:val="000000"/>
                <w:sz w:val="22"/>
                <w:szCs w:val="22"/>
                <w:lang w:val="en-US"/>
              </w:rPr>
              <w:t xml:space="preserve">             p lower bound              p upper bound</w:t>
            </w:r>
          </w:p>
        </w:tc>
      </w:tr>
      <w:tr w:rsidR="001A33C7" w:rsidRPr="002569F0" w14:paraId="5E811347" w14:textId="77777777" w:rsidTr="00D9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shd w:val="clear" w:color="auto" w:fill="FFFFFF" w:themeFill="background1"/>
            <w:noWrap/>
            <w:vAlign w:val="center"/>
            <w:hideMark/>
          </w:tcPr>
          <w:p w14:paraId="1B45C41B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  <w:t>1.0                         9e-04                       0.0009</w:t>
            </w:r>
          </w:p>
        </w:tc>
      </w:tr>
      <w:tr w:rsidR="001A33C7" w:rsidRPr="002569F0" w14:paraId="1C9A1582" w14:textId="77777777" w:rsidTr="00D9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shd w:val="clear" w:color="auto" w:fill="FFFFFF" w:themeFill="background1"/>
            <w:noWrap/>
            <w:vAlign w:val="center"/>
            <w:hideMark/>
          </w:tcPr>
          <w:p w14:paraId="18CD71F9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  <w:t>1.1                         2e-04                       0.0033</w:t>
            </w:r>
          </w:p>
        </w:tc>
      </w:tr>
      <w:tr w:rsidR="001A33C7" w:rsidRPr="002569F0" w14:paraId="1D6486DC" w14:textId="77777777" w:rsidTr="00D9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shd w:val="clear" w:color="auto" w:fill="FFFFFF" w:themeFill="background1"/>
            <w:noWrap/>
            <w:vAlign w:val="center"/>
            <w:hideMark/>
          </w:tcPr>
          <w:p w14:paraId="5E37CA9B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  <w:t>1.2                         1e-04                       0.0090</w:t>
            </w:r>
          </w:p>
        </w:tc>
      </w:tr>
      <w:tr w:rsidR="001A33C7" w:rsidRPr="002569F0" w14:paraId="089F9C55" w14:textId="77777777" w:rsidTr="00D9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shd w:val="clear" w:color="auto" w:fill="FFFFFF" w:themeFill="background1"/>
            <w:noWrap/>
            <w:vAlign w:val="center"/>
            <w:hideMark/>
          </w:tcPr>
          <w:p w14:paraId="349664A3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  <w:t>1.3                         0e+00                      0.0204</w:t>
            </w:r>
          </w:p>
        </w:tc>
      </w:tr>
      <w:tr w:rsidR="001A33C7" w:rsidRPr="002569F0" w14:paraId="38BDA902" w14:textId="77777777" w:rsidTr="00D9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shd w:val="clear" w:color="auto" w:fill="FFFFFF" w:themeFill="background1"/>
            <w:noWrap/>
            <w:vAlign w:val="center"/>
            <w:hideMark/>
          </w:tcPr>
          <w:p w14:paraId="6E3D178F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  <w:t>1.4                         0e+00                      0.0399</w:t>
            </w:r>
          </w:p>
        </w:tc>
      </w:tr>
      <w:tr w:rsidR="001A33C7" w:rsidRPr="002569F0" w14:paraId="0B789425" w14:textId="77777777" w:rsidTr="00D90099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shd w:val="clear" w:color="auto" w:fill="FFFFFF" w:themeFill="background1"/>
            <w:noWrap/>
            <w:vAlign w:val="center"/>
            <w:hideMark/>
          </w:tcPr>
          <w:p w14:paraId="5F098678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  <w:t>1.5                         0e+00                      0.0693</w:t>
            </w:r>
          </w:p>
        </w:tc>
      </w:tr>
      <w:tr w:rsidR="001A33C7" w:rsidRPr="002569F0" w14:paraId="1AA3EFA6" w14:textId="77777777" w:rsidTr="00D90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shd w:val="clear" w:color="auto" w:fill="FFFFFF" w:themeFill="background1"/>
            <w:noWrap/>
            <w:vAlign w:val="center"/>
            <w:hideMark/>
          </w:tcPr>
          <w:p w14:paraId="2BD80E28" w14:textId="77777777" w:rsidR="001A33C7" w:rsidRPr="002569F0" w:rsidRDefault="001A33C7" w:rsidP="00D90099">
            <w:pPr>
              <w:keepNext/>
              <w:widowControl/>
              <w:autoSpaceDE/>
              <w:autoSpaceDN/>
              <w:adjustRightInd/>
              <w:spacing w:line="276" w:lineRule="auto"/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b w:val="0"/>
                <w:bCs w:val="0"/>
                <w:color w:val="000000"/>
                <w:sz w:val="22"/>
                <w:szCs w:val="22"/>
              </w:rPr>
              <w:t>1.6                         0e+00                       0.1094</w:t>
            </w:r>
          </w:p>
        </w:tc>
      </w:tr>
    </w:tbl>
    <w:p w14:paraId="1E2D61FD" w14:textId="77777777" w:rsidR="001A33C7" w:rsidRPr="002569F0" w:rsidRDefault="001A33C7" w:rsidP="001A33C7">
      <w:pPr>
        <w:pStyle w:val="Style1"/>
      </w:pPr>
    </w:p>
    <w:p w14:paraId="4E14E09B" w14:textId="77777777" w:rsidR="001A33C7" w:rsidRPr="002569F0" w:rsidRDefault="001A33C7" w:rsidP="001A33C7">
      <w:pPr>
        <w:pStyle w:val="Style1"/>
      </w:pPr>
      <w:r w:rsidRPr="002569F0">
        <w:t>Gamma (</w:t>
      </w:r>
      <w:proofErr w:type="gramStart"/>
      <w:r w:rsidRPr="002569F0">
        <w:t>Γ )</w:t>
      </w:r>
      <w:proofErr w:type="gramEnd"/>
      <w:r w:rsidRPr="002569F0">
        <w:t xml:space="preserve"> is the sensitivity parameter. It is an odds ratio that measures the degree of departure from random assignment of treatment (in randomised studies, Γ =1). Two subjects with the same observed characteristics may differ in the odds of being treated by at most a factor of Γ.</w:t>
      </w:r>
    </w:p>
    <w:p w14:paraId="11F96EE8" w14:textId="5283B1EC" w:rsidR="001A33C7" w:rsidRPr="002569F0" w:rsidRDefault="001A33C7" w:rsidP="001A33C7">
      <w:pPr>
        <w:pStyle w:val="Style1"/>
      </w:pPr>
      <w:r w:rsidRPr="002569F0">
        <w:t xml:space="preserve">Here, p&gt;0.05 for Γ = 1.4: the odds ratio would have to change by a factor of 1.4 to render the estimates of the ATT of </w:t>
      </w:r>
      <w:proofErr w:type="spellStart"/>
      <w:r w:rsidRPr="002569F0">
        <w:t>Malakit</w:t>
      </w:r>
      <w:proofErr w:type="spellEnd"/>
      <w:r w:rsidRPr="002569F0">
        <w:t xml:space="preserve"> on KAP 12 statistically insignificant at a significanc</w:t>
      </w:r>
      <w:r>
        <w:t>y</w:t>
      </w:r>
      <w:r w:rsidRPr="002569F0">
        <w:t xml:space="preserve"> level of </w:t>
      </w:r>
      <w:r>
        <w:t>5%</w:t>
      </w:r>
      <w:r w:rsidRPr="002569F0">
        <w:t xml:space="preserve">. That means that for two subjects identical on matched covariates, one might be 1.4 times as likely as the other to be included in </w:t>
      </w:r>
      <w:proofErr w:type="spellStart"/>
      <w:r w:rsidRPr="002569F0">
        <w:t>Malakit</w:t>
      </w:r>
      <w:proofErr w:type="spellEnd"/>
      <w:r w:rsidRPr="002569F0">
        <w:t xml:space="preserve"> because they differ in terms of an unobserved covariate (hidden bias). </w:t>
      </w:r>
    </w:p>
    <w:p w14:paraId="29207088" w14:textId="77777777" w:rsidR="001A33C7" w:rsidRPr="002569F0" w:rsidRDefault="001A33C7" w:rsidP="001A33C7">
      <w:pPr>
        <w:widowControl/>
        <w:autoSpaceDE/>
        <w:autoSpaceDN/>
        <w:adjustRightInd/>
        <w:spacing w:line="276" w:lineRule="auto"/>
        <w:rPr>
          <w:sz w:val="22"/>
          <w:szCs w:val="22"/>
          <w:lang w:val="en-US"/>
        </w:rPr>
      </w:pPr>
    </w:p>
    <w:p w14:paraId="5C89D85D" w14:textId="53BEE7E6" w:rsidR="001A33C7" w:rsidRPr="002569F0" w:rsidRDefault="001A33C7" w:rsidP="001A33C7">
      <w:pPr>
        <w:pStyle w:val="Sous-titre"/>
        <w:rPr>
          <w:szCs w:val="22"/>
        </w:rPr>
      </w:pPr>
      <w:bookmarkStart w:id="4" w:name="_Toc88642161"/>
      <w:r w:rsidRPr="002569F0">
        <w:rPr>
          <w:szCs w:val="22"/>
        </w:rPr>
        <w:t xml:space="preserve">Table </w:t>
      </w:r>
      <w:r>
        <w:rPr>
          <w:szCs w:val="22"/>
        </w:rPr>
        <w:t>2</w:t>
      </w:r>
      <w:r w:rsidRPr="002569F0">
        <w:rPr>
          <w:szCs w:val="22"/>
        </w:rPr>
        <w:t xml:space="preserve">. KAP 12 score after IPTW sensitivity analysis using optimal trimming among participants and non-participants in </w:t>
      </w:r>
      <w:proofErr w:type="spellStart"/>
      <w:r w:rsidRPr="002569F0">
        <w:rPr>
          <w:szCs w:val="22"/>
        </w:rPr>
        <w:t>Malakit</w:t>
      </w:r>
      <w:bookmarkEnd w:id="4"/>
      <w:proofErr w:type="spellEnd"/>
    </w:p>
    <w:tbl>
      <w:tblPr>
        <w:tblW w:w="7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1641"/>
        <w:gridCol w:w="1984"/>
        <w:gridCol w:w="2045"/>
        <w:gridCol w:w="861"/>
      </w:tblGrid>
      <w:tr w:rsidR="001A33C7" w:rsidRPr="002569F0" w14:paraId="799D98EA" w14:textId="77777777" w:rsidTr="00D90099">
        <w:trPr>
          <w:trHeight w:val="290"/>
        </w:trPr>
        <w:tc>
          <w:tcPr>
            <w:tcW w:w="769" w:type="dxa"/>
            <w:vAlign w:val="center"/>
          </w:tcPr>
          <w:p w14:paraId="2F3E4226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b/>
                <w:bCs/>
                <w:color w:val="000000"/>
                <w:sz w:val="22"/>
                <w:szCs w:val="22"/>
              </w:rPr>
              <w:t>Score</w:t>
            </w:r>
          </w:p>
        </w:tc>
        <w:tc>
          <w:tcPr>
            <w:tcW w:w="1641" w:type="dxa"/>
            <w:shd w:val="clear" w:color="auto" w:fill="auto"/>
            <w:noWrap/>
            <w:vAlign w:val="center"/>
          </w:tcPr>
          <w:p w14:paraId="027C87E5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569F0"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Not included in </w:t>
            </w:r>
            <w:proofErr w:type="spellStart"/>
            <w:r w:rsidRPr="002569F0"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  <w:t>Malakit</w:t>
            </w:r>
            <w:proofErr w:type="spellEnd"/>
            <w:r w:rsidRPr="002569F0"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(N=245)</w:t>
            </w:r>
          </w:p>
          <w:p w14:paraId="7E7618BB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569F0">
              <w:rPr>
                <w:rFonts w:cs="Calibri"/>
                <w:color w:val="000000"/>
                <w:sz w:val="22"/>
                <w:szCs w:val="22"/>
              </w:rPr>
              <w:t>mean</w:t>
            </w:r>
            <w:proofErr w:type="spellEnd"/>
            <w:proofErr w:type="gramEnd"/>
            <w:r w:rsidRPr="002569F0">
              <w:rPr>
                <w:rFonts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569F0">
              <w:rPr>
                <w:rFonts w:cs="Calibri"/>
                <w:color w:val="000000"/>
                <w:sz w:val="22"/>
                <w:szCs w:val="22"/>
              </w:rPr>
              <w:t>sd</w:t>
            </w:r>
            <w:proofErr w:type="spellEnd"/>
            <w:r w:rsidRPr="002569F0">
              <w:rPr>
                <w:rFonts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39FB526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569F0"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Included in </w:t>
            </w:r>
            <w:proofErr w:type="spellStart"/>
            <w:r w:rsidRPr="002569F0"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  <w:t>Malakit</w:t>
            </w:r>
            <w:proofErr w:type="spellEnd"/>
          </w:p>
          <w:p w14:paraId="70F53CE8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2569F0">
              <w:rPr>
                <w:rFonts w:cs="Calibri"/>
                <w:b/>
                <w:bCs/>
                <w:color w:val="000000"/>
                <w:sz w:val="22"/>
                <w:szCs w:val="22"/>
                <w:lang w:val="en-US"/>
              </w:rPr>
              <w:t>(N=107)</w:t>
            </w:r>
          </w:p>
          <w:p w14:paraId="0B2E82C6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color w:val="000000"/>
                <w:sz w:val="22"/>
                <w:szCs w:val="22"/>
                <w:lang w:val="en-US"/>
              </w:rPr>
            </w:pPr>
            <w:r w:rsidRPr="002569F0">
              <w:rPr>
                <w:rFonts w:cs="Calibri"/>
                <w:color w:val="000000"/>
                <w:sz w:val="22"/>
                <w:szCs w:val="22"/>
                <w:lang w:val="en-US"/>
              </w:rPr>
              <w:t>mean (</w:t>
            </w:r>
            <w:proofErr w:type="spellStart"/>
            <w:r w:rsidRPr="002569F0">
              <w:rPr>
                <w:rFonts w:cs="Calibri"/>
                <w:color w:val="000000"/>
                <w:sz w:val="22"/>
                <w:szCs w:val="22"/>
                <w:lang w:val="en-US"/>
              </w:rPr>
              <w:t>sd</w:t>
            </w:r>
            <w:proofErr w:type="spellEnd"/>
            <w:r w:rsidRPr="002569F0">
              <w:rPr>
                <w:rFonts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045" w:type="dxa"/>
            <w:shd w:val="clear" w:color="auto" w:fill="auto"/>
            <w:noWrap/>
            <w:vAlign w:val="center"/>
          </w:tcPr>
          <w:p w14:paraId="125BAE63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b/>
                <w:bCs/>
                <w:color w:val="000000"/>
                <w:sz w:val="22"/>
                <w:szCs w:val="22"/>
              </w:rPr>
              <w:t>Coefficient [IC95%]</w:t>
            </w:r>
          </w:p>
        </w:tc>
        <w:tc>
          <w:tcPr>
            <w:tcW w:w="861" w:type="dxa"/>
            <w:shd w:val="clear" w:color="auto" w:fill="auto"/>
            <w:noWrap/>
            <w:vAlign w:val="center"/>
          </w:tcPr>
          <w:p w14:paraId="623DD83D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569F0">
              <w:rPr>
                <w:rFonts w:cs="Calibri"/>
                <w:b/>
                <w:bCs/>
                <w:color w:val="000000"/>
                <w:sz w:val="22"/>
                <w:szCs w:val="22"/>
              </w:rPr>
              <w:t>p</w:t>
            </w:r>
            <w:proofErr w:type="gramEnd"/>
            <w:r w:rsidRPr="002569F0">
              <w:rPr>
                <w:rFonts w:cs="Calibri"/>
                <w:b/>
                <w:bCs/>
                <w:color w:val="000000"/>
                <w:sz w:val="22"/>
                <w:szCs w:val="22"/>
              </w:rPr>
              <w:t>.value</w:t>
            </w:r>
            <w:proofErr w:type="spellEnd"/>
          </w:p>
        </w:tc>
      </w:tr>
      <w:tr w:rsidR="001A33C7" w:rsidRPr="002569F0" w14:paraId="55DC3618" w14:textId="77777777" w:rsidTr="00D90099">
        <w:trPr>
          <w:trHeight w:val="290"/>
        </w:trPr>
        <w:tc>
          <w:tcPr>
            <w:tcW w:w="769" w:type="dxa"/>
            <w:vAlign w:val="center"/>
          </w:tcPr>
          <w:p w14:paraId="2E003368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color w:val="000000"/>
                <w:sz w:val="22"/>
                <w:szCs w:val="22"/>
              </w:rPr>
              <w:t>KAP 12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58C0F3EC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color w:val="000000"/>
                <w:sz w:val="22"/>
                <w:szCs w:val="22"/>
              </w:rPr>
              <w:t>8.62 (1.52)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5A8816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color w:val="000000"/>
                <w:sz w:val="22"/>
                <w:szCs w:val="22"/>
              </w:rPr>
              <w:t>9.32 (1.53)</w:t>
            </w:r>
          </w:p>
        </w:tc>
        <w:tc>
          <w:tcPr>
            <w:tcW w:w="2045" w:type="dxa"/>
            <w:shd w:val="clear" w:color="auto" w:fill="auto"/>
            <w:noWrap/>
            <w:vAlign w:val="center"/>
            <w:hideMark/>
          </w:tcPr>
          <w:p w14:paraId="1523AEA7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color w:val="000000"/>
                <w:sz w:val="22"/>
                <w:szCs w:val="22"/>
              </w:rPr>
              <w:t>0.70 [0.34 ; 1.05]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14EFFD7C" w14:textId="77777777" w:rsidR="001A33C7" w:rsidRPr="002569F0" w:rsidRDefault="001A33C7" w:rsidP="00D9009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2569F0">
              <w:rPr>
                <w:rFonts w:cs="Calibri"/>
                <w:color w:val="000000"/>
                <w:sz w:val="22"/>
                <w:szCs w:val="22"/>
              </w:rPr>
              <w:t>&lt;0.001*</w:t>
            </w:r>
          </w:p>
        </w:tc>
      </w:tr>
    </w:tbl>
    <w:p w14:paraId="7C140B76" w14:textId="77777777" w:rsidR="001A33C7" w:rsidRPr="002569F0" w:rsidRDefault="001A33C7" w:rsidP="001A33C7">
      <w:pPr>
        <w:pStyle w:val="Style1"/>
      </w:pPr>
    </w:p>
    <w:p w14:paraId="2808986B" w14:textId="2DF1EB14" w:rsidR="001A33C7" w:rsidRPr="002569F0" w:rsidRDefault="001A33C7" w:rsidP="001A33C7">
      <w:pPr>
        <w:pStyle w:val="Style1"/>
      </w:pPr>
      <w:r w:rsidRPr="002569F0">
        <w:t xml:space="preserve">After optimal trimming, </w:t>
      </w:r>
      <w:r>
        <w:t>two</w:t>
      </w:r>
      <w:r w:rsidRPr="002569F0">
        <w:t xml:space="preserve"> participants were removed from the non-participant’s group. No difference </w:t>
      </w:r>
      <w:r>
        <w:t>was</w:t>
      </w:r>
      <w:r w:rsidRPr="002569F0">
        <w:t xml:space="preserve"> observed with the IPTW analysis in the KAP 12 score after optimal trimming compared to the IPTW analysis without trimming.</w:t>
      </w:r>
    </w:p>
    <w:p w14:paraId="52B006A6" w14:textId="77777777" w:rsidR="00C56175" w:rsidRDefault="001A33C7"/>
    <w:sectPr w:rsidR="00C56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C7"/>
    <w:rsid w:val="00196A26"/>
    <w:rsid w:val="001A33C7"/>
    <w:rsid w:val="00815FDC"/>
    <w:rsid w:val="00AA4F1A"/>
    <w:rsid w:val="00B5412B"/>
    <w:rsid w:val="00D7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3D89"/>
  <w15:chartTrackingRefBased/>
  <w15:docId w15:val="{49DCE7C6-9624-40F2-AAF8-BEEDB941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3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1A33C7"/>
    <w:pPr>
      <w:keepNext/>
      <w:keepLines/>
      <w:widowControl/>
      <w:autoSpaceDE/>
      <w:autoSpaceDN/>
      <w:adjustRightInd/>
      <w:spacing w:before="40" w:line="360" w:lineRule="auto"/>
      <w:jc w:val="both"/>
      <w:outlineLvl w:val="1"/>
    </w:pPr>
    <w:rPr>
      <w:rFonts w:ascii="Calibri Light" w:hAnsi="Calibri Light"/>
      <w:b/>
      <w:bCs/>
      <w:i/>
      <w:iCs/>
      <w:color w:val="1F3763"/>
      <w:sz w:val="22"/>
      <w:szCs w:val="2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A33C7"/>
    <w:rPr>
      <w:rFonts w:ascii="Calibri Light" w:eastAsia="Times New Roman" w:hAnsi="Calibri Light" w:cs="Times New Roman"/>
      <w:b/>
      <w:bCs/>
      <w:i/>
      <w:iCs/>
      <w:color w:val="1F3763"/>
      <w:szCs w:val="20"/>
      <w:lang w:val="en-US"/>
    </w:rPr>
  </w:style>
  <w:style w:type="paragraph" w:styleId="Sous-titre">
    <w:name w:val="Subtitle"/>
    <w:basedOn w:val="Lgende"/>
    <w:next w:val="Normal"/>
    <w:link w:val="Sous-titreCar"/>
    <w:qFormat/>
    <w:rsid w:val="001A33C7"/>
    <w:pPr>
      <w:keepNext/>
      <w:spacing w:before="120" w:after="120"/>
    </w:pPr>
    <w:rPr>
      <w:rFonts w:asciiTheme="minorHAnsi" w:eastAsia="Calibri" w:hAnsiTheme="minorHAnsi"/>
      <w:i w:val="0"/>
      <w:color w:val="auto"/>
      <w:sz w:val="22"/>
      <w:szCs w:val="23"/>
      <w:lang w:val="en-GB"/>
    </w:rPr>
  </w:style>
  <w:style w:type="character" w:customStyle="1" w:styleId="Sous-titreCar">
    <w:name w:val="Sous-titre Car"/>
    <w:basedOn w:val="Policepardfaut"/>
    <w:link w:val="Sous-titre"/>
    <w:rsid w:val="001A33C7"/>
    <w:rPr>
      <w:rFonts w:eastAsia="Calibri" w:cs="Times New Roman"/>
      <w:iCs/>
      <w:szCs w:val="23"/>
      <w:lang w:val="en-GB" w:eastAsia="fr-FR"/>
    </w:rPr>
  </w:style>
  <w:style w:type="paragraph" w:customStyle="1" w:styleId="Style1">
    <w:name w:val="Style1"/>
    <w:basedOn w:val="Paragraphedeliste"/>
    <w:link w:val="Style1Car"/>
    <w:qFormat/>
    <w:rsid w:val="001A33C7"/>
    <w:pPr>
      <w:widowControl/>
      <w:autoSpaceDE/>
      <w:autoSpaceDN/>
      <w:adjustRightInd/>
      <w:spacing w:after="160" w:line="480" w:lineRule="auto"/>
      <w:ind w:left="0"/>
      <w:jc w:val="both"/>
    </w:pPr>
    <w:rPr>
      <w:rFonts w:eastAsia="Calibri"/>
      <w:sz w:val="22"/>
      <w:szCs w:val="22"/>
      <w:lang w:val="en-GB" w:eastAsia="en-US"/>
    </w:rPr>
  </w:style>
  <w:style w:type="character" w:customStyle="1" w:styleId="Style1Car">
    <w:name w:val="Style1 Car"/>
    <w:link w:val="Style1"/>
    <w:rsid w:val="001A33C7"/>
    <w:rPr>
      <w:rFonts w:ascii="Calibri" w:eastAsia="Calibri" w:hAnsi="Calibri" w:cs="Times New Roman"/>
      <w:lang w:val="en-GB"/>
    </w:rPr>
  </w:style>
  <w:style w:type="table" w:customStyle="1" w:styleId="TableauGrille4-Accentuation31">
    <w:name w:val="Tableau Grille 4 - Accentuation 31"/>
    <w:basedOn w:val="TableauNormal"/>
    <w:uiPriority w:val="49"/>
    <w:rsid w:val="001A3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gende">
    <w:name w:val="caption"/>
    <w:basedOn w:val="Normal"/>
    <w:next w:val="Normal"/>
    <w:uiPriority w:val="35"/>
    <w:semiHidden/>
    <w:unhideWhenUsed/>
    <w:qFormat/>
    <w:rsid w:val="001A33C7"/>
    <w:pPr>
      <w:spacing w:after="200"/>
    </w:pPr>
    <w:rPr>
      <w:i/>
      <w:iCs/>
      <w:color w:val="44546A" w:themeColor="text2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A3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Longchamps</dc:creator>
  <cp:keywords/>
  <dc:description/>
  <cp:lastModifiedBy>Cécile Longchamps</cp:lastModifiedBy>
  <cp:revision>1</cp:revision>
  <dcterms:created xsi:type="dcterms:W3CDTF">2022-01-16T12:53:00Z</dcterms:created>
  <dcterms:modified xsi:type="dcterms:W3CDTF">2022-01-16T12:55:00Z</dcterms:modified>
</cp:coreProperties>
</file>