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480" w:lineRule="auto"/>
        <w:ind w:firstLine="0" w:firstLineChars="0"/>
        <w:jc w:val="left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</w:rPr>
        <w:t>Highlights</w:t>
      </w:r>
      <w:bookmarkEnd w:id="0"/>
    </w:p>
    <w:p>
      <w:pPr>
        <w:kinsoku w:val="0"/>
        <w:overflowPunct w:val="0"/>
        <w:spacing w:line="480" w:lineRule="auto"/>
        <w:ind w:firstLine="0" w:firstLineChars="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1.A</w:t>
      </w:r>
      <w:r>
        <w:rPr>
          <w:rFonts w:ascii="Times New Roman" w:hAnsi="Times New Roman" w:cs="Times New Roman"/>
          <w:sz w:val="24"/>
        </w:rPr>
        <w:t xml:space="preserve"> new lignocellulose modeling method was developed by integrating molecular simulation methods and diverse testing technologies.</w:t>
      </w:r>
    </w:p>
    <w:p>
      <w:pPr>
        <w:kinsoku w:val="0"/>
        <w:overflowPunct w:val="0"/>
        <w:spacing w:line="480" w:lineRule="auto"/>
        <w:ind w:firstLine="0" w:firstLineChars="0"/>
        <w:jc w:val="left"/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</w:rPr>
        <w:t>Three components (cellulose, hemicellulose, and lignin) were selected as simulation objects to accurately calculate the properties of the model and reduce the amount of calculation.</w:t>
      </w:r>
    </w:p>
    <w:p>
      <w:pPr>
        <w:kinsoku w:val="0"/>
        <w:overflowPunct w:val="0"/>
        <w:spacing w:line="480" w:lineRule="auto"/>
        <w:ind w:firstLine="0" w:firstLineChars="0"/>
        <w:jc w:val="lef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3.</w:t>
      </w:r>
      <w:r>
        <w:rPr>
          <w:rFonts w:hint="eastAsia" w:ascii="Times New Roman" w:hAnsi="Times New Roman" w:cs="Times New Roman"/>
          <w:sz w:val="24"/>
        </w:rPr>
        <w:t>Three components (cellulose, hemicellulose, and lignin) were selected as simulation objects to accurately calculate the properties of the model and reduce the amount of calculation.</w:t>
      </w:r>
    </w:p>
    <w:p>
      <w:pPr>
        <w:kinsoku w:val="0"/>
        <w:overflowPunct w:val="0"/>
        <w:spacing w:line="480" w:lineRule="auto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4.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The electron density analysis indicated that the 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π–π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conjugation effect of the aromatic ring structures was subject to heteroatoms, and it caused the electrons to accumulate on the heteroatoms</w:t>
      </w:r>
      <w:r>
        <w:rPr>
          <w:rFonts w:hint="eastAsia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46E4C"/>
    <w:rsid w:val="1DB4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360" w:hanging="360"/>
    </w:pPr>
    <w:rPr>
      <w:rFonts w:eastAsia="宋体" w:cs="Times New Roman"/>
      <w:szCs w:val="20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2022-01-22T13:25:00Z</dcterms:created>
  <dc:creator>巴西尅路</dc:creator>
  <cp:lastModifiedBy>巴西尅路</cp:lastModifiedBy>
  <dcterms:modified xsi:type="dcterms:W3CDTF">2022-01-22T15:06:58Z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E0CFA15926AB4594A3309CC3FB565F68</vt:lpwstr>
  </property>
</Properties>
</file>