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FBBA" w14:textId="77777777" w:rsidR="00DB4B1C" w:rsidRPr="0092600B" w:rsidRDefault="00DB4B1C" w:rsidP="00DB4B1C">
      <w:pPr>
        <w:pStyle w:val="Caption"/>
        <w:keepNext/>
        <w:rPr>
          <w:lang w:val="en-US"/>
        </w:rPr>
      </w:pPr>
      <w:r w:rsidRPr="0092600B">
        <w:rPr>
          <w:lang w:val="en-US"/>
        </w:rPr>
        <w:t xml:space="preserve">Table </w:t>
      </w:r>
      <w:r w:rsidRPr="0092600B">
        <w:rPr>
          <w:lang w:val="en-US"/>
        </w:rPr>
        <w:fldChar w:fldCharType="begin"/>
      </w:r>
      <w:r w:rsidRPr="0092600B">
        <w:rPr>
          <w:lang w:val="en-US"/>
        </w:rPr>
        <w:instrText xml:space="preserve"> SEQ Table \* ARABIC </w:instrText>
      </w:r>
      <w:r w:rsidRPr="0092600B">
        <w:rPr>
          <w:lang w:val="en-US"/>
        </w:rPr>
        <w:fldChar w:fldCharType="separate"/>
      </w:r>
      <w:r w:rsidRPr="0092600B">
        <w:rPr>
          <w:lang w:val="en-US"/>
        </w:rPr>
        <w:t>2</w:t>
      </w:r>
      <w:r w:rsidRPr="0092600B">
        <w:rPr>
          <w:lang w:val="en-US"/>
        </w:rPr>
        <w:fldChar w:fldCharType="end"/>
      </w:r>
      <w:r w:rsidRPr="0092600B">
        <w:rPr>
          <w:lang w:val="en-US"/>
        </w:rPr>
        <w:t>:Preoperative patient characteristics for participants in the Back At work After Surgery (BAAS) clinical pathway</w:t>
      </w:r>
    </w:p>
    <w:tbl>
      <w:tblPr>
        <w:tblStyle w:val="TableGrid"/>
        <w:tblW w:w="8851" w:type="dxa"/>
        <w:jc w:val="center"/>
        <w:tblLook w:val="04A0" w:firstRow="1" w:lastRow="0" w:firstColumn="1" w:lastColumn="0" w:noHBand="0" w:noVBand="1"/>
      </w:tblPr>
      <w:tblGrid>
        <w:gridCol w:w="5423"/>
        <w:gridCol w:w="2066"/>
        <w:gridCol w:w="1362"/>
      </w:tblGrid>
      <w:tr w:rsidR="00DB4B1C" w:rsidRPr="0092600B" w14:paraId="4734B3B2" w14:textId="77777777" w:rsidTr="00FD3AD6">
        <w:trPr>
          <w:jc w:val="center"/>
        </w:trPr>
        <w:tc>
          <w:tcPr>
            <w:tcW w:w="5423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E36DED2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A0EE65E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Median [Q1-Q</w:t>
            </w:r>
            <w:proofErr w:type="gramStart"/>
            <w:r w:rsidRPr="0092600B">
              <w:rPr>
                <w:b/>
                <w:sz w:val="20"/>
                <w:szCs w:val="20"/>
                <w:lang w:val="en-US"/>
              </w:rPr>
              <w:t>3]</w:t>
            </w:r>
            <w:r w:rsidRPr="0092600B">
              <w:rPr>
                <w:b/>
                <w:sz w:val="20"/>
                <w:szCs w:val="20"/>
                <w:vertAlign w:val="superscript"/>
                <w:lang w:val="en-US"/>
              </w:rPr>
              <w:t>ꝉ</w:t>
            </w:r>
            <w:proofErr w:type="gramEnd"/>
            <w:r w:rsidRPr="0092600B">
              <w:rPr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2600B">
              <w:rPr>
                <w:b/>
                <w:sz w:val="20"/>
                <w:szCs w:val="20"/>
                <w:lang w:val="en-US"/>
              </w:rPr>
              <w:t>or number (percentage)*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8A89A50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Missing data (percentage)</w:t>
            </w:r>
          </w:p>
        </w:tc>
      </w:tr>
      <w:tr w:rsidR="00DB4B1C" w:rsidRPr="0092600B" w14:paraId="63D32EDC" w14:textId="77777777" w:rsidTr="00FD3AD6">
        <w:trPr>
          <w:jc w:val="center"/>
        </w:trPr>
        <w:tc>
          <w:tcPr>
            <w:tcW w:w="5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DE9C30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Age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†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1AC63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59 [57-60]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C31F6B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225CFCEB" w14:textId="77777777" w:rsidTr="00FD3AD6">
        <w:trPr>
          <w:trHeight w:val="208"/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B9A057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Sex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‡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8EB17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6FC81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75A30C2D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645F8AED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191D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 (36%)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7A24ECF2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3BA1557D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171BC1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female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2E7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7 (64%)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2EFCB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B966D0B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7597CEB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Surgery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‡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F1A1B69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279A756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6206417B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4E23889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UKA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59F84D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3 (27%)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03B8C26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41782A7B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0AECA5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TKA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252B1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8 (73%)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FF1FCB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547A8718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727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Length of stay (days)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 xml:space="preserve"> 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E2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2 [2-2.5]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1A10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6C265EBA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9D747D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Number of patients reported preoperative sick leave &gt; 2 weeks*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8AD84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(9%)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397A87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025E8C3E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0CF7B0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Knee demanding work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‡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6E6F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585FC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3ACDC4EF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0036D62F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Low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36A4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(18%)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2DD0B57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4A33A39A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0308DB98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D16BC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 (36%)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0DBDECD7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0B32B5F3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181BAE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45E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 (45%)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7C220A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094A46AA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37AD65D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Level of education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‡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A7E724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2FF29BA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70666676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18597F1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Low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D22A42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 (45%)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350087CC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80AEED6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375B667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5E358DE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3 (27%)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2DD5397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DE94EC5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968B4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High 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B2768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3 (27%)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B79777A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35E0291B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7FD866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Functioning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D8C3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18AE37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7F29FA34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7395C254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DEMMI (range 0-100) 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D025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85 [85-100]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4C5F4D6C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(18%)</w:t>
            </w:r>
          </w:p>
        </w:tc>
      </w:tr>
      <w:tr w:rsidR="00DB4B1C" w:rsidRPr="0092600B" w14:paraId="22A3B95C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08709228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6 MWT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3C65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407 [397-449]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62FD188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(18%)</w:t>
            </w:r>
          </w:p>
        </w:tc>
      </w:tr>
      <w:tr w:rsidR="00DB4B1C" w:rsidRPr="0092600B" w14:paraId="5BCE79B3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0AB39E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 STST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34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11.4 [10.3-12.7]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7E8C0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(18%)</w:t>
            </w:r>
          </w:p>
        </w:tc>
      </w:tr>
      <w:tr w:rsidR="00DB4B1C" w:rsidRPr="0092600B" w14:paraId="542662C7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B1FB8B9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Patient reported outcomes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AFE4BE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78B1B2D4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44754C5E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FA85E8F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CSI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9406DD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23 [16.5-31.5]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17C38FEE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(9%)</w:t>
            </w:r>
          </w:p>
        </w:tc>
      </w:tr>
      <w:tr w:rsidR="00DB4B1C" w:rsidRPr="0092600B" w14:paraId="3958A134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2FF80BF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KOOS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EFB0DFA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005433EC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(9%)</w:t>
            </w:r>
          </w:p>
        </w:tc>
      </w:tr>
      <w:tr w:rsidR="00DB4B1C" w:rsidRPr="0092600B" w14:paraId="18DAAC13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82D11C6" w14:textId="77777777" w:rsidR="00DB4B1C" w:rsidRPr="0092600B" w:rsidRDefault="00DB4B1C" w:rsidP="00DB4B1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Symptoms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40F9E8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42.9 [33.9-51.8]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3641E42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F11E3C7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8080AB4" w14:textId="77777777" w:rsidR="00DB4B1C" w:rsidRPr="0092600B" w:rsidRDefault="00DB4B1C" w:rsidP="00DB4B1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Pain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78F5EE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47.2 [38.9-50]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223890A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7A2190C2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C5C4155" w14:textId="77777777" w:rsidR="00DB4B1C" w:rsidRPr="0092600B" w:rsidRDefault="00DB4B1C" w:rsidP="00DB4B1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Activities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A430D0F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57.4 [52.2-64.0]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1958AE4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3F302563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4BB5590" w14:textId="77777777" w:rsidR="00DB4B1C" w:rsidRPr="0092600B" w:rsidRDefault="00DB4B1C" w:rsidP="00DB4B1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Sport participation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1CE7584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 [0-17.5]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787F1AB2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750AA572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5171138" w14:textId="77777777" w:rsidR="00DB4B1C" w:rsidRPr="0092600B" w:rsidRDefault="00DB4B1C" w:rsidP="00DB4B1C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Quality of life (range 0-100)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0FC6B6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18.8 [6.3-28.1]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7EB15B5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2E7F5A31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79FC21" w14:textId="77777777" w:rsidR="00DB4B1C" w:rsidRPr="0092600B" w:rsidRDefault="00DB4B1C" w:rsidP="00DB4B1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WORQ (range 0-52)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CA3F4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42 [36.5-58.7]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7E95C1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(9%)</w:t>
            </w:r>
          </w:p>
        </w:tc>
      </w:tr>
      <w:tr w:rsidR="00DB4B1C" w:rsidRPr="0092600B" w14:paraId="5B7FA949" w14:textId="77777777" w:rsidTr="00FD3AD6">
        <w:trPr>
          <w:jc w:val="center"/>
        </w:trPr>
        <w:tc>
          <w:tcPr>
            <w:tcW w:w="5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B3D03B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 xml:space="preserve">Return to work </w:t>
            </w:r>
            <w:r w:rsidRPr="0092600B">
              <w:rPr>
                <w:rFonts w:ascii="Arial" w:hAnsi="Arial" w:cs="Arial"/>
                <w:b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85DBF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413AF5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DB4B1C" w:rsidRPr="0092600B" w14:paraId="6F1582C6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nil"/>
              <w:right w:val="single" w:sz="4" w:space="0" w:color="auto"/>
            </w:tcBorders>
          </w:tcPr>
          <w:p w14:paraId="4B8E3F05" w14:textId="77777777" w:rsidR="00DB4B1C" w:rsidRPr="0092600B" w:rsidRDefault="00DB4B1C" w:rsidP="00DB4B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Weeks to start return to work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4731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6.4 [6-8.1]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</w:tcBorders>
          </w:tcPr>
          <w:p w14:paraId="4A8F1B42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92600B" w14:paraId="1F03A0E2" w14:textId="77777777" w:rsidTr="00FD3AD6">
        <w:trPr>
          <w:jc w:val="center"/>
        </w:trPr>
        <w:tc>
          <w:tcPr>
            <w:tcW w:w="54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46D0EE" w14:textId="77777777" w:rsidR="00DB4B1C" w:rsidRPr="0092600B" w:rsidRDefault="00DB4B1C" w:rsidP="00DB4B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Weeks to fully return to work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C9F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12.4 [9.8-14.4]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ED4882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0</w:t>
            </w:r>
          </w:p>
        </w:tc>
      </w:tr>
      <w:tr w:rsidR="00DB4B1C" w:rsidRPr="0044697B" w14:paraId="4F12E3D4" w14:textId="77777777" w:rsidTr="00FD3AD6">
        <w:trPr>
          <w:jc w:val="center"/>
        </w:trPr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DD726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  <w:r w:rsidRPr="0092600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†</w:t>
            </w:r>
            <w:r w:rsidRPr="0092600B">
              <w:rPr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2600B">
              <w:rPr>
                <w:i/>
                <w:sz w:val="20"/>
                <w:szCs w:val="20"/>
                <w:lang w:val="en-US"/>
              </w:rPr>
              <w:t xml:space="preserve">= Numeric variables, </w:t>
            </w:r>
            <w:r w:rsidRPr="0092600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  <w:lang w:val="en-US"/>
              </w:rPr>
              <w:t>‡</w:t>
            </w:r>
            <w:r w:rsidRPr="0092600B">
              <w:rPr>
                <w:i/>
                <w:sz w:val="20"/>
                <w:szCs w:val="20"/>
                <w:lang w:val="en-US"/>
              </w:rPr>
              <w:t xml:space="preserve"> = categorical variables. Abbreviations: 5 STST: 5 time sit-to-stand test, 6MWD = </w:t>
            </w:r>
            <w:proofErr w:type="gramStart"/>
            <w:r w:rsidRPr="0092600B">
              <w:rPr>
                <w:i/>
                <w:sz w:val="20"/>
                <w:szCs w:val="20"/>
                <w:lang w:val="en-US"/>
              </w:rPr>
              <w:t>6 minute</w:t>
            </w:r>
            <w:proofErr w:type="gramEnd"/>
            <w:r w:rsidRPr="0092600B">
              <w:rPr>
                <w:i/>
                <w:sz w:val="20"/>
                <w:szCs w:val="20"/>
                <w:lang w:val="en-US"/>
              </w:rPr>
              <w:t xml:space="preserve"> walking test, CSI = Central Sensitization Inventory, DEMMI = de Morton Mobility Index, KOOS: Knee Osteoarthritis Outcome Score, WORQ = Work, Osteoarthritis and joint-Replacement Questionnaire; TKA = Total Knee Arthroplasty; UKA = </w:t>
            </w:r>
            <w:proofErr w:type="spellStart"/>
            <w:r w:rsidRPr="0092600B">
              <w:rPr>
                <w:i/>
                <w:sz w:val="20"/>
                <w:szCs w:val="20"/>
                <w:lang w:val="en-US"/>
              </w:rPr>
              <w:t>Unicompartmental</w:t>
            </w:r>
            <w:proofErr w:type="spellEnd"/>
            <w:r w:rsidRPr="0092600B">
              <w:rPr>
                <w:i/>
                <w:sz w:val="20"/>
                <w:szCs w:val="20"/>
                <w:lang w:val="en-US"/>
              </w:rPr>
              <w:t xml:space="preserve"> Knee Arthroplasty.</w:t>
            </w:r>
          </w:p>
          <w:p w14:paraId="0A02F061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15D84124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6CD66839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7942E18C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74BC6167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476F81D2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37ECC1F8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1A090FB1" w14:textId="77777777" w:rsidR="00DB4B1C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  <w:p w14:paraId="693FC91A" w14:textId="68ABAAAD" w:rsidR="00DB4B1C" w:rsidRPr="0092600B" w:rsidRDefault="00DB4B1C" w:rsidP="00FD3AD6">
            <w:pPr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48542819" w14:textId="054975A4" w:rsidR="00E41910" w:rsidRDefault="00E41910"/>
    <w:p w14:paraId="2F62198A" w14:textId="77777777" w:rsidR="00DB4B1C" w:rsidRPr="0092600B" w:rsidRDefault="00DB4B1C" w:rsidP="00DB4B1C">
      <w:pPr>
        <w:pStyle w:val="Caption"/>
        <w:keepNext/>
        <w:rPr>
          <w:sz w:val="20"/>
          <w:szCs w:val="20"/>
          <w:lang w:val="en-US"/>
        </w:rPr>
      </w:pPr>
      <w:r w:rsidRPr="0092600B">
        <w:rPr>
          <w:sz w:val="20"/>
          <w:szCs w:val="20"/>
          <w:lang w:val="en-US"/>
        </w:rPr>
        <w:lastRenderedPageBreak/>
        <w:t xml:space="preserve">Table 3: Feasibility outcomes of the Back </w:t>
      </w:r>
      <w:proofErr w:type="gramStart"/>
      <w:r w:rsidRPr="0092600B">
        <w:rPr>
          <w:sz w:val="20"/>
          <w:szCs w:val="20"/>
          <w:lang w:val="en-US"/>
        </w:rPr>
        <w:t>At</w:t>
      </w:r>
      <w:proofErr w:type="gramEnd"/>
      <w:r w:rsidRPr="0092600B">
        <w:rPr>
          <w:sz w:val="20"/>
          <w:szCs w:val="20"/>
          <w:lang w:val="en-US"/>
        </w:rPr>
        <w:t xml:space="preserve"> Work after Surgery (BAAS) clinical pathway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6516"/>
        <w:gridCol w:w="1417"/>
      </w:tblGrid>
      <w:tr w:rsidR="00DB4B1C" w:rsidRPr="0092600B" w14:paraId="59D1BAF9" w14:textId="77777777" w:rsidTr="00FD3AD6">
        <w:tc>
          <w:tcPr>
            <w:tcW w:w="6516" w:type="dxa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14:paraId="617A9E9E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14:paraId="38240B49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Number (%)</w:t>
            </w:r>
          </w:p>
        </w:tc>
      </w:tr>
      <w:tr w:rsidR="00DB4B1C" w:rsidRPr="0092600B" w14:paraId="4A2DE377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5DFEB8EC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Reach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1009271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02265494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5D7C2FF5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Number of patients who met inclusion criteria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048C12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29 (100)</w:t>
            </w:r>
          </w:p>
        </w:tc>
      </w:tr>
      <w:tr w:rsidR="00DB4B1C" w:rsidRPr="0092600B" w14:paraId="5E5E5F82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138764B9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Number of patients included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C2FBC7A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(38)</w:t>
            </w:r>
          </w:p>
        </w:tc>
      </w:tr>
      <w:tr w:rsidR="00DB4B1C" w:rsidRPr="0092600B" w14:paraId="2FF5F5D1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6582F5CF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Number of cases where occupational physician was willing to participate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C1D028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3DDB0E62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09E41C95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Number of cases where employer was willing to participate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F2948D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3168E2AB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17C38FA2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Number of cases where </w:t>
            </w:r>
            <w:r>
              <w:rPr>
                <w:sz w:val="20"/>
                <w:szCs w:val="20"/>
                <w:lang w:val="en-US"/>
              </w:rPr>
              <w:t>OCM</w:t>
            </w:r>
            <w:r w:rsidRPr="0092600B">
              <w:rPr>
                <w:sz w:val="20"/>
                <w:szCs w:val="20"/>
                <w:lang w:val="en-US"/>
              </w:rPr>
              <w:t xml:space="preserve"> was involved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469FF0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6A12675B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1FCC8607" w14:textId="77777777" w:rsidR="00DB4B1C" w:rsidRPr="0092600B" w:rsidRDefault="00DB4B1C" w:rsidP="00DB4B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Number of cases where </w:t>
            </w:r>
            <w:r>
              <w:rPr>
                <w:sz w:val="20"/>
                <w:szCs w:val="20"/>
                <w:lang w:val="en-US"/>
              </w:rPr>
              <w:t>MCM</w:t>
            </w:r>
            <w:r w:rsidRPr="0092600B">
              <w:rPr>
                <w:sz w:val="20"/>
                <w:szCs w:val="20"/>
                <w:lang w:val="en-US"/>
              </w:rPr>
              <w:t xml:space="preserve"> was involved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43E6E19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7750FB25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5F1409B0" w14:textId="77777777" w:rsidR="00DB4B1C" w:rsidRPr="00916702" w:rsidRDefault="00DB4B1C" w:rsidP="00FD3AD6">
            <w:pPr>
              <w:rPr>
                <w:b/>
                <w:sz w:val="20"/>
                <w:szCs w:val="20"/>
              </w:rPr>
            </w:pPr>
            <w:r w:rsidRPr="00916702">
              <w:rPr>
                <w:b/>
                <w:sz w:val="20"/>
                <w:szCs w:val="20"/>
              </w:rPr>
              <w:t xml:space="preserve">Dose delivered (OS/MCM/OCM/OP/MDR)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1EC499E7" w14:textId="77777777" w:rsidR="00DB4B1C" w:rsidRPr="00916702" w:rsidRDefault="00DB4B1C" w:rsidP="00FD3AD6">
            <w:pPr>
              <w:rPr>
                <w:sz w:val="20"/>
                <w:szCs w:val="20"/>
              </w:rPr>
            </w:pPr>
          </w:p>
        </w:tc>
      </w:tr>
      <w:tr w:rsidR="00DB4B1C" w:rsidRPr="0092600B" w14:paraId="11954BB0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78BFBE89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Information return-to-work from orthopedic surgeon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EFD96F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(18)</w:t>
            </w:r>
          </w:p>
        </w:tc>
      </w:tr>
      <w:tr w:rsidR="00DB4B1C" w:rsidRPr="0092600B" w14:paraId="620C145B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27855D34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Advice given to contact occupational physician before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2556B8F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(100)</w:t>
            </w:r>
          </w:p>
        </w:tc>
      </w:tr>
      <w:tr w:rsidR="00DB4B1C" w:rsidRPr="0092600B" w14:paraId="5F8C4AD6" w14:textId="77777777" w:rsidTr="00FD3AD6">
        <w:trPr>
          <w:trHeight w:val="652"/>
        </w:trPr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0475C4DF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Invitation sent for preoperative screening by </w:t>
            </w:r>
            <w:r>
              <w:rPr>
                <w:sz w:val="20"/>
                <w:szCs w:val="20"/>
                <w:lang w:val="en-US"/>
              </w:rPr>
              <w:t>MCM</w:t>
            </w:r>
          </w:p>
          <w:p w14:paraId="350E6260" w14:textId="77777777" w:rsidR="00DB4B1C" w:rsidRPr="0092600B" w:rsidRDefault="00DB4B1C" w:rsidP="00DB4B1C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Set work-related goal before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3E0BBA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(91)</w:t>
            </w:r>
            <w:r w:rsidRPr="0092600B">
              <w:rPr>
                <w:sz w:val="20"/>
                <w:szCs w:val="20"/>
                <w:lang w:val="en-US"/>
              </w:rPr>
              <w:br/>
              <w:t>10 (91)</w:t>
            </w:r>
          </w:p>
        </w:tc>
      </w:tr>
      <w:tr w:rsidR="00DB4B1C" w:rsidRPr="0092600B" w14:paraId="42D786E5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241FEB08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Physical therapy received until full return to work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7884BF9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11(100)</w:t>
            </w:r>
          </w:p>
        </w:tc>
      </w:tr>
      <w:tr w:rsidR="00DB4B1C" w:rsidRPr="0092600B" w14:paraId="10CF2B26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615EC758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Contact </w:t>
            </w:r>
            <w:r>
              <w:rPr>
                <w:sz w:val="20"/>
                <w:szCs w:val="20"/>
                <w:lang w:val="en-US"/>
              </w:rPr>
              <w:t>OCM</w:t>
            </w:r>
          </w:p>
          <w:p w14:paraId="0C12781A" w14:textId="77777777" w:rsidR="00DB4B1C" w:rsidRPr="0092600B" w:rsidRDefault="00DB4B1C" w:rsidP="00DB4B1C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Reach out before surgery</w:t>
            </w:r>
          </w:p>
          <w:p w14:paraId="3B963DF6" w14:textId="77777777" w:rsidR="00DB4B1C" w:rsidRPr="0092600B" w:rsidRDefault="00DB4B1C" w:rsidP="00DB4B1C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Reach out after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DD3C8E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  <w:r w:rsidRPr="0092600B">
              <w:rPr>
                <w:sz w:val="20"/>
                <w:szCs w:val="20"/>
                <w:lang w:val="en-US"/>
              </w:rPr>
              <w:br/>
              <w:t>4 (36)</w:t>
            </w:r>
            <w:r w:rsidRPr="0092600B">
              <w:rPr>
                <w:sz w:val="20"/>
                <w:szCs w:val="20"/>
                <w:lang w:val="en-US"/>
              </w:rPr>
              <w:br/>
              <w:t>7 (64)</w:t>
            </w:r>
          </w:p>
        </w:tc>
      </w:tr>
      <w:tr w:rsidR="00DB4B1C" w:rsidRPr="0092600B" w14:paraId="353E0949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76B7137D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Multi-disciplinary consult organized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873959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494329DF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27F70A0A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Accelerometer and information about usage was given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B48F747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04882ED3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30AA2A00" w14:textId="77777777" w:rsidR="00DB4B1C" w:rsidRPr="0092600B" w:rsidRDefault="00DB4B1C" w:rsidP="00DB4B1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Patients seen for quick scan before IVR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B1A219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(100)</w:t>
            </w:r>
          </w:p>
        </w:tc>
      </w:tr>
      <w:tr w:rsidR="00DB4B1C" w:rsidRPr="0092600B" w14:paraId="3E9951B7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7778FD43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Dose received (patients)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7798DE69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31758C37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1AE09ECB" w14:textId="77777777" w:rsidR="00DB4B1C" w:rsidRPr="0092600B" w:rsidRDefault="00DB4B1C" w:rsidP="00DB4B1C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Information return-to-work from orthopedic surgeon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363885E6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2 (100)</w:t>
            </w:r>
          </w:p>
        </w:tc>
      </w:tr>
      <w:tr w:rsidR="00DB4B1C" w:rsidRPr="0092600B" w14:paraId="59EE1C47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0590F4A6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Contact with occupational physician</w:t>
            </w:r>
          </w:p>
          <w:p w14:paraId="25062F8A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Start before surgery</w:t>
            </w:r>
          </w:p>
          <w:p w14:paraId="795A938D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Start after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22DB80EF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(100)</w:t>
            </w:r>
            <w:r w:rsidRPr="0092600B">
              <w:rPr>
                <w:sz w:val="20"/>
                <w:szCs w:val="20"/>
                <w:lang w:val="en-US"/>
              </w:rPr>
              <w:br/>
              <w:t>3 (30)</w:t>
            </w:r>
            <w:r w:rsidRPr="0092600B">
              <w:rPr>
                <w:sz w:val="20"/>
                <w:szCs w:val="20"/>
                <w:lang w:val="en-US"/>
              </w:rPr>
              <w:br/>
              <w:t>10 (100)</w:t>
            </w:r>
          </w:p>
        </w:tc>
      </w:tr>
      <w:tr w:rsidR="00DB4B1C" w:rsidRPr="0092600B" w14:paraId="63081E59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1EBFA643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Preoperative screening by </w:t>
            </w:r>
            <w:r>
              <w:rPr>
                <w:sz w:val="20"/>
                <w:szCs w:val="20"/>
                <w:lang w:val="en-US"/>
              </w:rPr>
              <w:t>MCM</w:t>
            </w:r>
          </w:p>
          <w:p w14:paraId="395A2358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Set work-related goal before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20AB9F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(100)</w:t>
            </w:r>
          </w:p>
          <w:p w14:paraId="008E02A5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(100)</w:t>
            </w:r>
          </w:p>
        </w:tc>
      </w:tr>
      <w:tr w:rsidR="00DB4B1C" w:rsidRPr="0092600B" w14:paraId="17F87C5F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49813531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Physical therapy received until full return to work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CE27D9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4C1F10D0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32C807AD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Contact </w:t>
            </w:r>
            <w:r>
              <w:rPr>
                <w:sz w:val="20"/>
                <w:szCs w:val="20"/>
                <w:lang w:val="en-US"/>
              </w:rPr>
              <w:t>OCM</w:t>
            </w:r>
          </w:p>
          <w:p w14:paraId="3EDB5668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Before surgery</w:t>
            </w:r>
          </w:p>
          <w:p w14:paraId="7F8EB675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After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20FAAF2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  <w:r w:rsidRPr="0092600B">
              <w:rPr>
                <w:sz w:val="20"/>
                <w:szCs w:val="20"/>
                <w:lang w:val="en-US"/>
              </w:rPr>
              <w:br/>
              <w:t>2 (50)</w:t>
            </w:r>
            <w:r w:rsidRPr="0092600B">
              <w:rPr>
                <w:sz w:val="20"/>
                <w:szCs w:val="20"/>
                <w:lang w:val="en-US"/>
              </w:rPr>
              <w:br/>
              <w:t>10 (91)</w:t>
            </w:r>
          </w:p>
        </w:tc>
      </w:tr>
      <w:tr w:rsidR="00DB4B1C" w:rsidRPr="0092600B" w14:paraId="7C284C29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5ED4CFA1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Multi-disciplinary consult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252E4C0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DB4B1C" w:rsidRPr="0092600B" w14:paraId="7155C4FA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30FEBF00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Contact employer about return-to-work</w:t>
            </w:r>
          </w:p>
          <w:p w14:paraId="37F23173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Before surgery</w:t>
            </w:r>
          </w:p>
          <w:p w14:paraId="615FE96F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After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378B2D4D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10 (</w:t>
            </w:r>
            <w:proofErr w:type="gramStart"/>
            <w:r w:rsidRPr="0092600B">
              <w:rPr>
                <w:sz w:val="20"/>
                <w:szCs w:val="20"/>
                <w:lang w:val="en-US"/>
              </w:rPr>
              <w:t>100)*</w:t>
            </w:r>
            <w:proofErr w:type="gramEnd"/>
            <w:r w:rsidRPr="0092600B">
              <w:rPr>
                <w:sz w:val="20"/>
                <w:szCs w:val="20"/>
                <w:lang w:val="en-US"/>
              </w:rPr>
              <w:br/>
              <w:t>3 (27)</w:t>
            </w:r>
            <w:r w:rsidRPr="0092600B">
              <w:rPr>
                <w:sz w:val="20"/>
                <w:szCs w:val="20"/>
                <w:lang w:val="en-US"/>
              </w:rPr>
              <w:br/>
              <w:t>10 (100)*</w:t>
            </w:r>
          </w:p>
        </w:tc>
      </w:tr>
      <w:tr w:rsidR="00DB4B1C" w:rsidRPr="0092600B" w14:paraId="690D589E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02729B24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Accelerometer</w:t>
            </w:r>
          </w:p>
          <w:p w14:paraId="01B67259" w14:textId="77777777" w:rsidR="00DB4B1C" w:rsidRPr="0092600B" w:rsidRDefault="00DB4B1C" w:rsidP="00DB4B1C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Worn daily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F4D71A3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  <w:r w:rsidRPr="0092600B">
              <w:rPr>
                <w:sz w:val="20"/>
                <w:szCs w:val="20"/>
                <w:lang w:val="en-US"/>
              </w:rPr>
              <w:br/>
              <w:t>11 (100)</w:t>
            </w:r>
          </w:p>
        </w:tc>
      </w:tr>
      <w:tr w:rsidR="00DB4B1C" w:rsidRPr="0092600B" w14:paraId="08F1F361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400D98DD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Fidelity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64AE2C9A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FC0741C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</w:tcPr>
          <w:p w14:paraId="45128523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Number of difficulties mentioned by </w:t>
            </w:r>
            <w:r>
              <w:rPr>
                <w:sz w:val="20"/>
                <w:szCs w:val="20"/>
                <w:lang w:val="en-US"/>
              </w:rPr>
              <w:t>OCM</w:t>
            </w:r>
            <w:r w:rsidRPr="0092600B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MCM</w:t>
            </w:r>
          </w:p>
          <w:p w14:paraId="728A72B1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 xml:space="preserve">Number of improvements mentioned by </w:t>
            </w:r>
            <w:r>
              <w:rPr>
                <w:sz w:val="20"/>
                <w:szCs w:val="20"/>
                <w:lang w:val="en-US"/>
              </w:rPr>
              <w:t>OCM</w:t>
            </w:r>
            <w:r w:rsidRPr="0092600B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MCM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45EEE7B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9</w:t>
            </w:r>
          </w:p>
          <w:p w14:paraId="08EFBA08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5</w:t>
            </w:r>
          </w:p>
        </w:tc>
      </w:tr>
      <w:tr w:rsidR="00DB4B1C" w:rsidRPr="0092600B" w14:paraId="77C729D3" w14:textId="77777777" w:rsidTr="00FD3AD6">
        <w:tc>
          <w:tcPr>
            <w:tcW w:w="6516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453340A5" w14:textId="77777777" w:rsidR="00DB4B1C" w:rsidRPr="0092600B" w:rsidRDefault="00DB4B1C" w:rsidP="00FD3AD6">
            <w:p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Patients’ 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5A43D82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</w:p>
        </w:tc>
      </w:tr>
      <w:tr w:rsidR="00DB4B1C" w:rsidRPr="0092600B" w14:paraId="656D0FF0" w14:textId="77777777" w:rsidTr="00FD3AD6">
        <w:tc>
          <w:tcPr>
            <w:tcW w:w="6516" w:type="dxa"/>
            <w:tcBorders>
              <w:top w:val="nil"/>
              <w:bottom w:val="single" w:sz="4" w:space="0" w:color="auto"/>
              <w:right w:val="nil"/>
            </w:tcBorders>
          </w:tcPr>
          <w:p w14:paraId="2E9C7A91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Patient satisfied</w:t>
            </w:r>
          </w:p>
          <w:p w14:paraId="4416CA58" w14:textId="77777777" w:rsidR="00DB4B1C" w:rsidRPr="0092600B" w:rsidRDefault="00DB4B1C" w:rsidP="00DB4B1C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Improvements mentioned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395D5841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11 (100)</w:t>
            </w:r>
          </w:p>
          <w:p w14:paraId="4D0F77A0" w14:textId="77777777" w:rsidR="00DB4B1C" w:rsidRPr="0092600B" w:rsidRDefault="00DB4B1C" w:rsidP="00FD3AD6">
            <w:pPr>
              <w:rPr>
                <w:sz w:val="20"/>
                <w:szCs w:val="20"/>
                <w:lang w:val="en-US"/>
              </w:rPr>
            </w:pPr>
            <w:r w:rsidRPr="0092600B">
              <w:rPr>
                <w:sz w:val="20"/>
                <w:szCs w:val="20"/>
                <w:lang w:val="en-US"/>
              </w:rPr>
              <w:t>1 (9)</w:t>
            </w:r>
          </w:p>
        </w:tc>
      </w:tr>
      <w:tr w:rsidR="00DB4B1C" w:rsidRPr="0044697B" w14:paraId="135E0864" w14:textId="77777777" w:rsidTr="00FD3AD6">
        <w:tc>
          <w:tcPr>
            <w:tcW w:w="7933" w:type="dxa"/>
            <w:gridSpan w:val="2"/>
            <w:tcBorders>
              <w:left w:val="nil"/>
              <w:bottom w:val="nil"/>
              <w:right w:val="nil"/>
            </w:tcBorders>
          </w:tcPr>
          <w:p w14:paraId="240949B9" w14:textId="77777777" w:rsidR="00DB4B1C" w:rsidRPr="0092600B" w:rsidRDefault="00DB4B1C" w:rsidP="00FD3AD6">
            <w:pPr>
              <w:rPr>
                <w:i/>
                <w:sz w:val="20"/>
                <w:szCs w:val="20"/>
                <w:lang w:val="en-US"/>
              </w:rPr>
            </w:pPr>
            <w:r w:rsidRPr="0092600B">
              <w:rPr>
                <w:i/>
                <w:sz w:val="20"/>
                <w:szCs w:val="20"/>
                <w:lang w:val="en-US"/>
              </w:rPr>
              <w:t xml:space="preserve">Aberrations: </w:t>
            </w:r>
            <w:r>
              <w:rPr>
                <w:i/>
                <w:sz w:val="20"/>
                <w:szCs w:val="20"/>
                <w:lang w:val="en-US"/>
              </w:rPr>
              <w:t>MCM</w:t>
            </w:r>
            <w:r w:rsidRPr="0092600B">
              <w:rPr>
                <w:i/>
                <w:sz w:val="20"/>
                <w:szCs w:val="20"/>
                <w:lang w:val="en-US"/>
              </w:rPr>
              <w:t xml:space="preserve"> = </w:t>
            </w:r>
            <w:r>
              <w:rPr>
                <w:i/>
                <w:sz w:val="20"/>
                <w:szCs w:val="20"/>
                <w:lang w:val="en-US"/>
              </w:rPr>
              <w:t>medical case manager</w:t>
            </w:r>
            <w:r w:rsidRPr="0092600B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OCM</w:t>
            </w:r>
            <w:r w:rsidRPr="0092600B">
              <w:rPr>
                <w:i/>
                <w:sz w:val="20"/>
                <w:szCs w:val="20"/>
                <w:lang w:val="en-US"/>
              </w:rPr>
              <w:t xml:space="preserve"> = </w:t>
            </w:r>
            <w:r>
              <w:rPr>
                <w:i/>
                <w:sz w:val="20"/>
                <w:szCs w:val="20"/>
                <w:lang w:val="en-US"/>
              </w:rPr>
              <w:t>occupational case manager</w:t>
            </w:r>
            <w:r w:rsidRPr="0092600B">
              <w:rPr>
                <w:i/>
                <w:sz w:val="20"/>
                <w:szCs w:val="20"/>
                <w:lang w:val="en-US"/>
              </w:rPr>
              <w:t>, IVR = interdisciplinary vocational rehabilitation, OS = orthopedic surgeon, OP = occupational physician.</w:t>
            </w:r>
          </w:p>
        </w:tc>
      </w:tr>
    </w:tbl>
    <w:p w14:paraId="6E32D6AA" w14:textId="3A721006" w:rsidR="00DB4B1C" w:rsidRDefault="00DB4B1C"/>
    <w:p w14:paraId="44DD8202" w14:textId="00D159AD" w:rsidR="00DB4B1C" w:rsidRDefault="00DB4B1C"/>
    <w:p w14:paraId="7A69F83E" w14:textId="4E655DC8" w:rsidR="00DB4B1C" w:rsidRDefault="00DB4B1C"/>
    <w:p w14:paraId="21CB9F65" w14:textId="1BAEA216" w:rsidR="00DB4B1C" w:rsidRDefault="00DB4B1C"/>
    <w:p w14:paraId="59CFC7A0" w14:textId="77777777" w:rsidR="00DB4B1C" w:rsidRPr="0092600B" w:rsidRDefault="00DB4B1C" w:rsidP="00DB4B1C">
      <w:pPr>
        <w:pStyle w:val="Caption"/>
        <w:keepNext/>
        <w:rPr>
          <w:lang w:val="en-US"/>
        </w:rPr>
      </w:pPr>
      <w:r w:rsidRPr="0092600B">
        <w:rPr>
          <w:lang w:val="en-US"/>
        </w:rPr>
        <w:lastRenderedPageBreak/>
        <w:t>Table 4: Shortcomings and solutions mentioned by medical and occupational case</w:t>
      </w:r>
      <w:r>
        <w:rPr>
          <w:lang w:val="en-US"/>
        </w:rPr>
        <w:t xml:space="preserve"> </w:t>
      </w:r>
      <w:r w:rsidRPr="0092600B">
        <w:rPr>
          <w:lang w:val="en-US"/>
        </w:rPr>
        <w:t>manager</w:t>
      </w:r>
      <w:r>
        <w:rPr>
          <w:lang w:val="en-US"/>
        </w:rPr>
        <w:t>s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DB4B1C" w:rsidRPr="0092600B" w14:paraId="643E6FAE" w14:textId="77777777" w:rsidTr="00FD3AD6">
        <w:tc>
          <w:tcPr>
            <w:tcW w:w="4820" w:type="dxa"/>
            <w:tcBorders>
              <w:bottom w:val="nil"/>
              <w:right w:val="nil"/>
            </w:tcBorders>
            <w:shd w:val="clear" w:color="auto" w:fill="ED7D31" w:themeFill="accent2"/>
          </w:tcPr>
          <w:p w14:paraId="132A1992" w14:textId="77777777" w:rsidR="00DB4B1C" w:rsidRPr="0092600B" w:rsidRDefault="00DB4B1C" w:rsidP="00FD3AD6">
            <w:pPr>
              <w:spacing w:line="480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Shortcomings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shd w:val="clear" w:color="auto" w:fill="70AD47" w:themeFill="accent6"/>
          </w:tcPr>
          <w:p w14:paraId="5123C4B7" w14:textId="77777777" w:rsidR="00DB4B1C" w:rsidRPr="0092600B" w:rsidRDefault="00DB4B1C" w:rsidP="00FD3AD6">
            <w:pPr>
              <w:spacing w:line="480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92600B">
              <w:rPr>
                <w:b/>
                <w:sz w:val="20"/>
                <w:szCs w:val="20"/>
                <w:lang w:val="en-US"/>
              </w:rPr>
              <w:t>Solutions</w:t>
            </w:r>
          </w:p>
        </w:tc>
      </w:tr>
      <w:tr w:rsidR="00DB4B1C" w:rsidRPr="0044697B" w14:paraId="70373268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4A4F3FD3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In multiple cases</w:t>
            </w:r>
            <w:r>
              <w:rPr>
                <w:sz w:val="18"/>
                <w:szCs w:val="18"/>
                <w:lang w:val="en-US"/>
              </w:rPr>
              <w:t>,</w:t>
            </w:r>
            <w:r w:rsidRPr="0092600B">
              <w:rPr>
                <w:sz w:val="18"/>
                <w:szCs w:val="18"/>
                <w:lang w:val="en-US"/>
              </w:rPr>
              <w:t xml:space="preserve"> it was hard to get in contact with the occupational physician (4 out of 11) or employer (3 out of 11);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5D5064C8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Compiling an information letter regarding the BAAS clinical pathway, which is sent to the OP and employer to improve communication with OP and employers;</w:t>
            </w:r>
          </w:p>
        </w:tc>
      </w:tr>
      <w:tr w:rsidR="00DB4B1C" w:rsidRPr="0044697B" w14:paraId="5869E431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1095B340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In three cases, the communication between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and </w:t>
            </w:r>
            <w:r>
              <w:rPr>
                <w:sz w:val="18"/>
                <w:szCs w:val="18"/>
                <w:lang w:val="en-US"/>
              </w:rPr>
              <w:t>MCM</w:t>
            </w:r>
            <w:r w:rsidRPr="0092600B">
              <w:rPr>
                <w:sz w:val="18"/>
                <w:szCs w:val="18"/>
                <w:lang w:val="en-US"/>
              </w:rPr>
              <w:t xml:space="preserve"> was not optimal given that the </w:t>
            </w:r>
            <w:r>
              <w:rPr>
                <w:sz w:val="18"/>
                <w:szCs w:val="18"/>
                <w:lang w:val="en-US"/>
              </w:rPr>
              <w:t>MCM</w:t>
            </w:r>
            <w:r w:rsidRPr="0092600B">
              <w:rPr>
                <w:sz w:val="18"/>
                <w:szCs w:val="18"/>
                <w:lang w:val="en-US"/>
              </w:rPr>
              <w:t xml:space="preserve"> was not informed when the report was finished or the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was not </w:t>
            </w:r>
            <w:r>
              <w:rPr>
                <w:sz w:val="18"/>
                <w:szCs w:val="18"/>
                <w:lang w:val="en-US"/>
              </w:rPr>
              <w:t>kept</w:t>
            </w:r>
            <w:r w:rsidRPr="0092600B">
              <w:rPr>
                <w:sz w:val="18"/>
                <w:szCs w:val="18"/>
                <w:lang w:val="en-US"/>
              </w:rPr>
              <w:t xml:space="preserve"> up to speed on cases regarding the RTW </w:t>
            </w:r>
            <w:proofErr w:type="gramStart"/>
            <w:r w:rsidRPr="0092600B">
              <w:rPr>
                <w:sz w:val="18"/>
                <w:szCs w:val="18"/>
                <w:lang w:val="en-US"/>
              </w:rPr>
              <w:t>process;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5A0A4E47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In case a</w:t>
            </w:r>
            <w:r>
              <w:rPr>
                <w:sz w:val="18"/>
                <w:szCs w:val="18"/>
                <w:lang w:val="en-US"/>
              </w:rPr>
              <w:t>n</w:t>
            </w:r>
            <w:r w:rsidRPr="0092600B">
              <w:rPr>
                <w:sz w:val="18"/>
                <w:szCs w:val="18"/>
                <w:lang w:val="en-US"/>
              </w:rPr>
              <w:t xml:space="preserve"> OP is not involved, the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and </w:t>
            </w:r>
            <w:r>
              <w:rPr>
                <w:sz w:val="18"/>
                <w:szCs w:val="18"/>
                <w:lang w:val="en-US"/>
              </w:rPr>
              <w:t>MCM</w:t>
            </w:r>
            <w:r w:rsidRPr="0092600B">
              <w:rPr>
                <w:sz w:val="18"/>
                <w:szCs w:val="18"/>
                <w:lang w:val="en-US"/>
              </w:rPr>
              <w:t xml:space="preserve"> will advise the patient on RTW; </w:t>
            </w:r>
          </w:p>
        </w:tc>
      </w:tr>
      <w:tr w:rsidR="00DB4B1C" w:rsidRPr="0044697B" w14:paraId="1CFC2ABA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716402F1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The report made by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often came after surgery instead of before surgery (9 out of 11). This was due to the variability between the long waiting time before surgery during the SARS-COVID-19 outbreaks in the Netherlands and sudden short waiting times when surgery was possible to perform after the outbreak periods;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24D1BAE8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Investigate whether employers can join the MDO if patients provide informed consent regarding discussing their work-related disabilities;</w:t>
            </w:r>
          </w:p>
        </w:tc>
      </w:tr>
      <w:tr w:rsidR="00DB4B1C" w:rsidRPr="0044697B" w14:paraId="1CC8D59C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10FFF040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The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had a hard time figuring out which patient had fully returned to work and therefore which cases could be closed;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45B07016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Organize a meeting every two weeks between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and </w:t>
            </w:r>
            <w:r>
              <w:rPr>
                <w:sz w:val="18"/>
                <w:szCs w:val="18"/>
                <w:lang w:val="en-US"/>
              </w:rPr>
              <w:t>MCM</w:t>
            </w:r>
            <w:r w:rsidRPr="0092600B">
              <w:rPr>
                <w:sz w:val="18"/>
                <w:szCs w:val="18"/>
                <w:lang w:val="en-US"/>
              </w:rPr>
              <w:t xml:space="preserve"> to discuss progress to improve communication between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and </w:t>
            </w:r>
            <w:r>
              <w:rPr>
                <w:sz w:val="18"/>
                <w:szCs w:val="18"/>
                <w:lang w:val="en-US"/>
              </w:rPr>
              <w:t>MCM</w:t>
            </w:r>
            <w:r w:rsidRPr="0092600B">
              <w:rPr>
                <w:sz w:val="18"/>
                <w:szCs w:val="18"/>
                <w:lang w:val="en-US"/>
              </w:rPr>
              <w:t xml:space="preserve">;  </w:t>
            </w:r>
          </w:p>
        </w:tc>
      </w:tr>
      <w:tr w:rsidR="00DB4B1C" w:rsidRPr="0044697B" w14:paraId="7DD1E026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5FB77E70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In one case, an occupational physician was not involved because the patient was self-employed and had no contract with an occupational physician or health service. Therefore, no occupational physician was present during the RTW;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1D7A7471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Announce new patients to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directly after signing informed consent and implement a maximum period of 20 days between announcement and finishing the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report.</w:t>
            </w:r>
          </w:p>
        </w:tc>
      </w:tr>
      <w:tr w:rsidR="00DB4B1C" w:rsidRPr="0092600B" w14:paraId="0B97B9A9" w14:textId="77777777" w:rsidTr="00FD3AD6"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77910E7B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>Two patients went on holiday in the RTW period and therefore the rehabilitation and RTW process was postponed. This may have led to a longer RTW period;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12E58E7B" w14:textId="77777777" w:rsidR="00DB4B1C" w:rsidRPr="0092600B" w:rsidRDefault="00DB4B1C" w:rsidP="00FD3AD6">
            <w:pPr>
              <w:spacing w:line="480" w:lineRule="auto"/>
              <w:jc w:val="both"/>
              <w:rPr>
                <w:sz w:val="16"/>
                <w:szCs w:val="20"/>
                <w:lang w:val="en-US"/>
              </w:rPr>
            </w:pPr>
          </w:p>
        </w:tc>
      </w:tr>
      <w:tr w:rsidR="00DB4B1C" w:rsidRPr="0044697B" w14:paraId="0FC52076" w14:textId="77777777" w:rsidTr="00FD3AD6">
        <w:tc>
          <w:tcPr>
            <w:tcW w:w="4820" w:type="dxa"/>
            <w:tcBorders>
              <w:top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6BA4BFB" w14:textId="77777777" w:rsidR="00DB4B1C" w:rsidRPr="0092600B" w:rsidRDefault="00DB4B1C" w:rsidP="00DB4B1C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92600B">
              <w:rPr>
                <w:sz w:val="18"/>
                <w:szCs w:val="18"/>
                <w:lang w:val="en-US"/>
              </w:rPr>
              <w:t xml:space="preserve">The report of the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was not always up to date given that one patient w</w:t>
            </w:r>
            <w:r>
              <w:rPr>
                <w:sz w:val="18"/>
                <w:szCs w:val="18"/>
                <w:lang w:val="en-US"/>
              </w:rPr>
              <w:t>as</w:t>
            </w:r>
            <w:r w:rsidRPr="0092600B">
              <w:rPr>
                <w:sz w:val="18"/>
                <w:szCs w:val="18"/>
                <w:lang w:val="en-US"/>
              </w:rPr>
              <w:t xml:space="preserve"> fired during the RTW </w:t>
            </w:r>
            <w:proofErr w:type="gramStart"/>
            <w:r w:rsidRPr="0092600B">
              <w:rPr>
                <w:sz w:val="18"/>
                <w:szCs w:val="18"/>
                <w:lang w:val="en-US"/>
              </w:rPr>
              <w:t>period</w:t>
            </w:r>
            <w:proofErr w:type="gramEnd"/>
            <w:r w:rsidRPr="0092600B">
              <w:rPr>
                <w:sz w:val="18"/>
                <w:szCs w:val="18"/>
                <w:lang w:val="en-US"/>
              </w:rPr>
              <w:t xml:space="preserve"> and one patient switched jobs before surgery while the report from </w:t>
            </w:r>
            <w:r>
              <w:rPr>
                <w:sz w:val="18"/>
                <w:szCs w:val="18"/>
                <w:lang w:val="en-US"/>
              </w:rPr>
              <w:t>OCM</w:t>
            </w:r>
            <w:r w:rsidRPr="0092600B">
              <w:rPr>
                <w:sz w:val="18"/>
                <w:szCs w:val="18"/>
                <w:lang w:val="en-US"/>
              </w:rPr>
              <w:t xml:space="preserve"> was already compiled</w:t>
            </w:r>
            <w:r>
              <w:rPr>
                <w:sz w:val="18"/>
                <w:szCs w:val="18"/>
                <w:lang w:val="en-US"/>
              </w:rPr>
              <w:t>,</w:t>
            </w:r>
            <w:r w:rsidRPr="0092600B">
              <w:rPr>
                <w:sz w:val="18"/>
                <w:szCs w:val="18"/>
                <w:lang w:val="en-US"/>
              </w:rPr>
              <w:t xml:space="preserve"> which delayed or complicated RTW;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shd w:val="clear" w:color="auto" w:fill="E2EFD9" w:themeFill="accent6" w:themeFillTint="33"/>
          </w:tcPr>
          <w:p w14:paraId="4401AFE1" w14:textId="77777777" w:rsidR="00DB4B1C" w:rsidRPr="0092600B" w:rsidRDefault="00DB4B1C" w:rsidP="00FD3AD6">
            <w:pPr>
              <w:spacing w:line="480" w:lineRule="auto"/>
              <w:jc w:val="both"/>
              <w:rPr>
                <w:sz w:val="16"/>
                <w:szCs w:val="20"/>
                <w:lang w:val="en-US"/>
              </w:rPr>
            </w:pPr>
          </w:p>
        </w:tc>
      </w:tr>
      <w:tr w:rsidR="00DB4B1C" w:rsidRPr="0044697B" w14:paraId="40EAC917" w14:textId="77777777" w:rsidTr="00FD3AD6"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7AFA8E" w14:textId="77777777" w:rsidR="00DB4B1C" w:rsidRPr="0092600B" w:rsidRDefault="00DB4B1C" w:rsidP="00FD3AD6">
            <w:pPr>
              <w:spacing w:line="48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2600B">
              <w:rPr>
                <w:i/>
                <w:sz w:val="18"/>
                <w:szCs w:val="20"/>
                <w:lang w:val="en-US"/>
              </w:rPr>
              <w:lastRenderedPageBreak/>
              <w:t xml:space="preserve">Aberrations: </w:t>
            </w:r>
            <w:r>
              <w:rPr>
                <w:i/>
                <w:sz w:val="18"/>
                <w:szCs w:val="20"/>
                <w:lang w:val="en-US"/>
              </w:rPr>
              <w:t>MCM</w:t>
            </w:r>
            <w:r w:rsidRPr="0092600B">
              <w:rPr>
                <w:i/>
                <w:sz w:val="18"/>
                <w:szCs w:val="20"/>
                <w:lang w:val="en-US"/>
              </w:rPr>
              <w:t xml:space="preserve"> = </w:t>
            </w:r>
            <w:r>
              <w:rPr>
                <w:i/>
                <w:sz w:val="18"/>
                <w:szCs w:val="20"/>
                <w:lang w:val="en-US"/>
              </w:rPr>
              <w:t>medical case manager</w:t>
            </w:r>
            <w:r w:rsidRPr="0092600B">
              <w:rPr>
                <w:i/>
                <w:sz w:val="18"/>
                <w:szCs w:val="20"/>
                <w:lang w:val="en-US"/>
              </w:rPr>
              <w:t xml:space="preserve">, </w:t>
            </w:r>
            <w:r>
              <w:rPr>
                <w:i/>
                <w:sz w:val="18"/>
                <w:szCs w:val="20"/>
                <w:lang w:val="en-US"/>
              </w:rPr>
              <w:t>OCM</w:t>
            </w:r>
            <w:r w:rsidRPr="0092600B">
              <w:rPr>
                <w:i/>
                <w:sz w:val="18"/>
                <w:szCs w:val="20"/>
                <w:lang w:val="en-US"/>
              </w:rPr>
              <w:t xml:space="preserve"> = </w:t>
            </w:r>
            <w:r>
              <w:rPr>
                <w:i/>
                <w:sz w:val="18"/>
                <w:szCs w:val="20"/>
                <w:lang w:val="en-US"/>
              </w:rPr>
              <w:t>occupational case manager</w:t>
            </w:r>
            <w:r w:rsidRPr="0092600B">
              <w:rPr>
                <w:i/>
                <w:sz w:val="18"/>
                <w:szCs w:val="20"/>
                <w:lang w:val="en-US"/>
              </w:rPr>
              <w:t>, OP = occupational physician, RTW = return to work.</w:t>
            </w:r>
          </w:p>
        </w:tc>
      </w:tr>
    </w:tbl>
    <w:p w14:paraId="158CE8E8" w14:textId="77777777" w:rsidR="00DB4B1C" w:rsidRDefault="00DB4B1C"/>
    <w:sectPr w:rsidR="00DB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31F"/>
    <w:multiLevelType w:val="hybridMultilevel"/>
    <w:tmpl w:val="72081942"/>
    <w:lvl w:ilvl="0" w:tplc="6452320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24F"/>
    <w:multiLevelType w:val="hybridMultilevel"/>
    <w:tmpl w:val="919CA69E"/>
    <w:lvl w:ilvl="0" w:tplc="A942FBF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7005FE"/>
    <w:multiLevelType w:val="hybridMultilevel"/>
    <w:tmpl w:val="34285872"/>
    <w:lvl w:ilvl="0" w:tplc="2926DCCE">
      <w:start w:val="1"/>
      <w:numFmt w:val="bullet"/>
      <w:lvlText w:val=""/>
      <w:lvlJc w:val="left"/>
      <w:pPr>
        <w:ind w:left="1079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B39"/>
    <w:multiLevelType w:val="hybridMultilevel"/>
    <w:tmpl w:val="950ED7F4"/>
    <w:lvl w:ilvl="0" w:tplc="2926DCCE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216274"/>
    <w:multiLevelType w:val="hybridMultilevel"/>
    <w:tmpl w:val="0BA4D7E6"/>
    <w:lvl w:ilvl="0" w:tplc="2926DCCE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2CE0582E"/>
    <w:multiLevelType w:val="hybridMultilevel"/>
    <w:tmpl w:val="1C347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05F1D"/>
    <w:multiLevelType w:val="hybridMultilevel"/>
    <w:tmpl w:val="991AFA18"/>
    <w:lvl w:ilvl="0" w:tplc="2926DCCE">
      <w:start w:val="1"/>
      <w:numFmt w:val="bullet"/>
      <w:lvlText w:val=""/>
      <w:lvlJc w:val="left"/>
      <w:pPr>
        <w:ind w:left="1079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C"/>
    <w:rsid w:val="00DB4B1C"/>
    <w:rsid w:val="00E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0EB0"/>
  <w15:chartTrackingRefBased/>
  <w15:docId w15:val="{49A9867A-F8F6-4F7A-B54E-3B6AA139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1C"/>
    <w:pPr>
      <w:ind w:left="720"/>
      <w:contextualSpacing/>
    </w:pPr>
  </w:style>
  <w:style w:type="table" w:styleId="TableGrid">
    <w:name w:val="Table Grid"/>
    <w:basedOn w:val="TableNormal"/>
    <w:uiPriority w:val="39"/>
    <w:rsid w:val="00DB4B1C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B1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2022-03-09T17:39:00Z</dcterms:created>
  <dcterms:modified xsi:type="dcterms:W3CDTF">2022-03-09T17:44:00Z</dcterms:modified>
</cp:coreProperties>
</file>