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BAF6" w14:textId="77777777" w:rsidR="00DF453F" w:rsidRPr="00D54B2E" w:rsidRDefault="00DF453F" w:rsidP="0028054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255274"/>
      <w:r w:rsidRPr="00D54B2E">
        <w:rPr>
          <w:rFonts w:ascii="Times New Roman" w:hAnsi="Times New Roman" w:cs="Times New Roman"/>
          <w:b/>
          <w:bCs/>
          <w:sz w:val="24"/>
          <w:szCs w:val="24"/>
        </w:rPr>
        <w:t xml:space="preserve">A novel tumor suppressor gene, TMEM171, inhibits the development of </w:t>
      </w:r>
      <w:r>
        <w:rPr>
          <w:rFonts w:ascii="Times New Roman" w:hAnsi="Times New Roman" w:cs="Times New Roman"/>
          <w:b/>
          <w:bCs/>
          <w:sz w:val="24"/>
          <w:szCs w:val="24"/>
        </w:rPr>
        <w:t>gastric cancer</w:t>
      </w:r>
      <w:r w:rsidRPr="00D54B2E">
        <w:rPr>
          <w:rFonts w:ascii="Times New Roman" w:hAnsi="Times New Roman" w:cs="Times New Roman"/>
          <w:b/>
          <w:bCs/>
          <w:sz w:val="24"/>
          <w:szCs w:val="24"/>
        </w:rPr>
        <w:t xml:space="preserve"> by</w:t>
      </w:r>
      <w:bookmarkStart w:id="1" w:name="OLE_LINK1"/>
      <w:r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Pr="00D54B2E">
        <w:rPr>
          <w:rFonts w:ascii="Times New Roman" w:hAnsi="Times New Roman" w:cs="Times New Roman"/>
          <w:b/>
          <w:bCs/>
          <w:sz w:val="24"/>
          <w:szCs w:val="24"/>
        </w:rPr>
        <w:t>phosphorylati</w:t>
      </w:r>
      <w:r>
        <w:rPr>
          <w:rFonts w:ascii="Times New Roman" w:hAnsi="Times New Roman" w:cs="Times New Roman"/>
          <w:b/>
          <w:bCs/>
          <w:sz w:val="24"/>
          <w:szCs w:val="24"/>
        </w:rPr>
        <w:t>ng</w:t>
      </w:r>
      <w:r w:rsidRPr="00D54B2E">
        <w:rPr>
          <w:rFonts w:ascii="Times New Roman" w:hAnsi="Times New Roman" w:cs="Times New Roman"/>
          <w:b/>
          <w:bCs/>
          <w:sz w:val="24"/>
          <w:szCs w:val="24"/>
        </w:rPr>
        <w:t xml:space="preserve"> IKBα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4B2E">
        <w:rPr>
          <w:rFonts w:ascii="Times New Roman" w:hAnsi="Times New Roman" w:cs="Times New Roman"/>
          <w:b/>
          <w:bCs/>
          <w:sz w:val="24"/>
          <w:szCs w:val="24"/>
        </w:rPr>
        <w:t xml:space="preserve">and inactivating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D54B2E">
        <w:rPr>
          <w:rFonts w:ascii="Times New Roman" w:hAnsi="Times New Roman" w:cs="Times New Roman"/>
          <w:b/>
          <w:bCs/>
          <w:sz w:val="24"/>
          <w:szCs w:val="24"/>
        </w:rPr>
        <w:t>NF-kB signaling pathway</w:t>
      </w:r>
    </w:p>
    <w:bookmarkEnd w:id="0"/>
    <w:bookmarkEnd w:id="1"/>
    <w:p w14:paraId="681638A5" w14:textId="77777777" w:rsidR="00DD28C6" w:rsidRDefault="00DD28C6" w:rsidP="00DD28C6">
      <w:pPr>
        <w:spacing w:line="480" w:lineRule="auto"/>
        <w:rPr>
          <w:rFonts w:ascii="Times New Roman" w:hAnsi="Times New Roman" w:cs="Times New Roman"/>
          <w:szCs w:val="21"/>
        </w:rPr>
      </w:pPr>
      <w:r w:rsidRPr="00280545">
        <w:rPr>
          <w:rFonts w:ascii="Times New Roman" w:hAnsi="Times New Roman" w:cs="Times New Roman"/>
          <w:szCs w:val="21"/>
        </w:rPr>
        <w:t>De-feng Li</w:t>
      </w:r>
      <w:r w:rsidRPr="004E62D3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Cs w:val="21"/>
        </w:rPr>
        <w:t xml:space="preserve">, </w:t>
      </w:r>
      <w:r w:rsidRPr="00280545">
        <w:rPr>
          <w:rFonts w:ascii="Times New Roman" w:hAnsi="Times New Roman" w:cs="Times New Roman"/>
          <w:szCs w:val="21"/>
        </w:rPr>
        <w:t>Qi Tang</w:t>
      </w:r>
      <w:r w:rsidRPr="004E62D3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*</w:t>
      </w:r>
      <w:r w:rsidRPr="00280545">
        <w:rPr>
          <w:rFonts w:ascii="Times New Roman" w:hAnsi="Times New Roman" w:cs="Times New Roman"/>
          <w:szCs w:val="21"/>
        </w:rPr>
        <w:t>, Mei-feng Yang</w:t>
      </w:r>
      <w:r w:rsidRPr="004E62D3"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  <w:vertAlign w:val="superscript"/>
        </w:rPr>
        <w:t>*</w:t>
      </w:r>
      <w:r w:rsidRPr="00280545">
        <w:rPr>
          <w:rFonts w:ascii="Times New Roman" w:hAnsi="Times New Roman" w:cs="Times New Roman"/>
          <w:szCs w:val="21"/>
        </w:rPr>
        <w:t>, Yu-ling Bing</w:t>
      </w:r>
      <w:r w:rsidRPr="004E62D3">
        <w:rPr>
          <w:rFonts w:ascii="Times New Roman" w:hAnsi="Times New Roman" w:cs="Times New Roman"/>
          <w:szCs w:val="21"/>
          <w:vertAlign w:val="superscript"/>
        </w:rPr>
        <w:t>3</w:t>
      </w:r>
      <w:r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Cs w:val="21"/>
        </w:rPr>
        <w:t>, Quan-</w:t>
      </w:r>
      <w:proofErr w:type="spellStart"/>
      <w:r>
        <w:rPr>
          <w:rFonts w:ascii="Times New Roman" w:hAnsi="Times New Roman" w:cs="Times New Roman"/>
          <w:szCs w:val="21"/>
        </w:rPr>
        <w:t>zhou</w:t>
      </w:r>
      <w:proofErr w:type="spellEnd"/>
      <w:r>
        <w:rPr>
          <w:rFonts w:ascii="Times New Roman" w:hAnsi="Times New Roman" w:cs="Times New Roman"/>
          <w:szCs w:val="21"/>
        </w:rPr>
        <w:t xml:space="preserve"> Peng</w:t>
      </w:r>
      <w:r>
        <w:rPr>
          <w:rFonts w:ascii="Times New Roman" w:hAnsi="Times New Roman" w:cs="Times New Roman"/>
          <w:szCs w:val="21"/>
          <w:vertAlign w:val="superscript"/>
        </w:rPr>
        <w:t>4</w:t>
      </w:r>
      <w:r>
        <w:rPr>
          <w:rFonts w:ascii="Times New Roman" w:hAnsi="Times New Roman" w:cs="Times New Roman"/>
          <w:szCs w:val="21"/>
        </w:rPr>
        <w:t xml:space="preserve">, </w:t>
      </w:r>
      <w:r w:rsidRPr="00280545">
        <w:rPr>
          <w:rFonts w:ascii="Times New Roman" w:hAnsi="Times New Roman" w:cs="Times New Roman"/>
          <w:szCs w:val="21"/>
        </w:rPr>
        <w:t>Li-sheng Wang</w:t>
      </w:r>
      <w:r w:rsidRPr="004E62D3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#</w:t>
      </w:r>
      <w:r w:rsidRPr="00280545">
        <w:rPr>
          <w:rFonts w:ascii="Times New Roman" w:hAnsi="Times New Roman" w:cs="Times New Roman"/>
          <w:szCs w:val="21"/>
        </w:rPr>
        <w:t>, Jun Yao</w:t>
      </w:r>
      <w:r w:rsidRPr="004E62D3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#</w:t>
      </w:r>
      <w:r w:rsidRPr="00280545">
        <w:rPr>
          <w:rFonts w:ascii="Times New Roman" w:hAnsi="Times New Roman" w:cs="Times New Roman"/>
          <w:szCs w:val="21"/>
        </w:rPr>
        <w:t xml:space="preserve"> </w:t>
      </w:r>
    </w:p>
    <w:p w14:paraId="3787F021" w14:textId="77777777" w:rsidR="00DD28C6" w:rsidRPr="00813BC6" w:rsidRDefault="00DD28C6" w:rsidP="00DD28C6">
      <w:pPr>
        <w:pStyle w:val="a7"/>
        <w:numPr>
          <w:ilvl w:val="0"/>
          <w:numId w:val="1"/>
        </w:numPr>
        <w:spacing w:after="0" w:line="360" w:lineRule="auto"/>
        <w:ind w:left="357" w:firstLineChars="0" w:hanging="357"/>
        <w:rPr>
          <w:rFonts w:ascii="Times New Roman" w:hAnsi="Times New Roman"/>
          <w:szCs w:val="21"/>
        </w:rPr>
      </w:pPr>
      <w:r w:rsidRPr="00813BC6">
        <w:rPr>
          <w:rFonts w:ascii="Times New Roman" w:hAnsi="Times New Roman" w:hint="eastAsia"/>
          <w:szCs w:val="21"/>
        </w:rPr>
        <w:t xml:space="preserve">Department of Gastroenterology, </w:t>
      </w:r>
      <w:bookmarkStart w:id="2" w:name="OLE_LINK3"/>
      <w:r w:rsidRPr="00813BC6">
        <w:rPr>
          <w:rFonts w:ascii="Times New Roman" w:hAnsi="Times New Roman" w:hint="eastAsia"/>
          <w:szCs w:val="21"/>
        </w:rPr>
        <w:t xml:space="preserve">Shenzhen </w:t>
      </w:r>
      <w:r w:rsidRPr="00813BC6">
        <w:rPr>
          <w:rFonts w:ascii="Times New Roman" w:hAnsi="Times New Roman"/>
          <w:szCs w:val="21"/>
        </w:rPr>
        <w:t>People's</w:t>
      </w:r>
      <w:r w:rsidRPr="00813BC6">
        <w:rPr>
          <w:rFonts w:ascii="Times New Roman" w:hAnsi="Times New Roman" w:hint="eastAsia"/>
          <w:szCs w:val="21"/>
        </w:rPr>
        <w:t xml:space="preserve"> Hospital (The Second Clinical Medical College</w:t>
      </w:r>
      <w:r w:rsidRPr="00813BC6">
        <w:rPr>
          <w:rFonts w:ascii="Times New Roman" w:hAnsi="Times New Roman" w:hint="eastAsia"/>
          <w:szCs w:val="21"/>
        </w:rPr>
        <w:t>，</w:t>
      </w:r>
      <w:r w:rsidRPr="00813BC6">
        <w:rPr>
          <w:rFonts w:ascii="Times New Roman" w:hAnsi="Times New Roman" w:hint="eastAsia"/>
          <w:szCs w:val="21"/>
        </w:rPr>
        <w:t>Jinan University</w:t>
      </w:r>
      <w:r w:rsidRPr="00813BC6">
        <w:rPr>
          <w:rFonts w:ascii="Times New Roman" w:hAnsi="Times New Roman" w:hint="eastAsia"/>
          <w:szCs w:val="21"/>
        </w:rPr>
        <w:t>；</w:t>
      </w:r>
      <w:r w:rsidRPr="00813BC6">
        <w:rPr>
          <w:rFonts w:ascii="Times New Roman" w:hAnsi="Times New Roman" w:hint="eastAsia"/>
          <w:szCs w:val="21"/>
        </w:rPr>
        <w:t>The First Affiliated Hospital, Southern University of Science and Technology)</w:t>
      </w:r>
      <w:bookmarkEnd w:id="2"/>
      <w:r w:rsidRPr="00813BC6">
        <w:rPr>
          <w:rFonts w:ascii="Times New Roman" w:hAnsi="Times New Roman" w:hint="eastAsia"/>
          <w:szCs w:val="21"/>
        </w:rPr>
        <w:t>, Shenzhen 518020, Guangdong, China</w:t>
      </w:r>
    </w:p>
    <w:p w14:paraId="7513E1D3" w14:textId="77777777" w:rsidR="00DD28C6" w:rsidRDefault="00DD28C6" w:rsidP="00DD28C6">
      <w:pPr>
        <w:pStyle w:val="a7"/>
        <w:numPr>
          <w:ilvl w:val="0"/>
          <w:numId w:val="1"/>
        </w:numPr>
        <w:spacing w:after="0" w:line="360" w:lineRule="auto"/>
        <w:ind w:left="357" w:firstLineChars="0" w:hanging="357"/>
        <w:rPr>
          <w:rFonts w:ascii="Times New Roman" w:hAnsi="Times New Roman"/>
          <w:szCs w:val="21"/>
        </w:rPr>
      </w:pPr>
      <w:r w:rsidRPr="00813BC6">
        <w:rPr>
          <w:rFonts w:ascii="Times New Roman" w:hAnsi="Times New Roman" w:hint="eastAsia"/>
          <w:szCs w:val="21"/>
        </w:rPr>
        <w:t xml:space="preserve">Department of Hematology, Yantian District </w:t>
      </w:r>
      <w:r w:rsidRPr="00813BC6">
        <w:rPr>
          <w:rFonts w:ascii="Times New Roman" w:hAnsi="Times New Roman"/>
          <w:szCs w:val="21"/>
        </w:rPr>
        <w:t>People's</w:t>
      </w:r>
      <w:r w:rsidRPr="00813BC6">
        <w:rPr>
          <w:rFonts w:ascii="Times New Roman" w:hAnsi="Times New Roman" w:hint="eastAsia"/>
          <w:szCs w:val="21"/>
        </w:rPr>
        <w:t xml:space="preserve"> Hospital, Shenzhen 518020, Guangdong, China</w:t>
      </w:r>
    </w:p>
    <w:p w14:paraId="16CB5291" w14:textId="77777777" w:rsidR="00DD28C6" w:rsidRPr="00DD2C63" w:rsidRDefault="00DD28C6" w:rsidP="00DD28C6">
      <w:pPr>
        <w:pStyle w:val="a7"/>
        <w:numPr>
          <w:ilvl w:val="0"/>
          <w:numId w:val="1"/>
        </w:numPr>
        <w:spacing w:after="0" w:line="360" w:lineRule="auto"/>
        <w:ind w:left="357" w:firstLineChars="0" w:hanging="357"/>
        <w:rPr>
          <w:rFonts w:ascii="Times New Roman" w:hAnsi="Times New Roman"/>
          <w:szCs w:val="21"/>
        </w:rPr>
      </w:pPr>
      <w:r w:rsidRPr="00DD2C63">
        <w:rPr>
          <w:rFonts w:ascii="Times New Roman" w:eastAsia="宋体" w:hAnsi="Times New Roman" w:cs="Times New Roman"/>
          <w:szCs w:val="21"/>
        </w:rPr>
        <w:t>Department of Rheumatology and Immunology, Zhu</w:t>
      </w:r>
      <w:r>
        <w:rPr>
          <w:rFonts w:ascii="Times New Roman" w:eastAsia="宋体" w:hAnsi="Times New Roman" w:cs="Times New Roman"/>
          <w:szCs w:val="21"/>
        </w:rPr>
        <w:t>z</w:t>
      </w:r>
      <w:r w:rsidRPr="00DD2C63">
        <w:rPr>
          <w:rFonts w:ascii="Times New Roman" w:eastAsia="宋体" w:hAnsi="Times New Roman" w:cs="Times New Roman"/>
          <w:szCs w:val="21"/>
        </w:rPr>
        <w:t>hou Central Hospital, Zhuzhou 421000, Hunan, China</w:t>
      </w:r>
    </w:p>
    <w:p w14:paraId="112B4258" w14:textId="77777777" w:rsidR="00DD28C6" w:rsidRPr="00813BC6" w:rsidRDefault="00DD28C6" w:rsidP="00DD28C6">
      <w:pPr>
        <w:pStyle w:val="a7"/>
        <w:numPr>
          <w:ilvl w:val="0"/>
          <w:numId w:val="1"/>
        </w:numPr>
        <w:spacing w:after="0" w:line="360" w:lineRule="auto"/>
        <w:ind w:left="357" w:firstLineChars="0" w:hanging="357"/>
        <w:rPr>
          <w:rFonts w:ascii="Times New Roman" w:hAnsi="Times New Roman"/>
          <w:szCs w:val="21"/>
        </w:rPr>
      </w:pPr>
      <w:r w:rsidRPr="00813BC6">
        <w:rPr>
          <w:rFonts w:ascii="Times New Roman" w:hAnsi="Times New Roman"/>
          <w:szCs w:val="21"/>
        </w:rPr>
        <w:t>Department of Pathology</w:t>
      </w:r>
      <w:r w:rsidRPr="00813BC6">
        <w:rPr>
          <w:rFonts w:ascii="Times New Roman" w:hAnsi="Times New Roman" w:hint="eastAsia"/>
          <w:szCs w:val="21"/>
        </w:rPr>
        <w:t xml:space="preserve">, Shenzhen </w:t>
      </w:r>
      <w:r w:rsidRPr="00813BC6">
        <w:rPr>
          <w:rFonts w:ascii="Times New Roman" w:hAnsi="Times New Roman"/>
          <w:szCs w:val="21"/>
        </w:rPr>
        <w:t>People's</w:t>
      </w:r>
      <w:r w:rsidRPr="00813BC6">
        <w:rPr>
          <w:rFonts w:ascii="Times New Roman" w:hAnsi="Times New Roman" w:hint="eastAsia"/>
          <w:szCs w:val="21"/>
        </w:rPr>
        <w:t xml:space="preserve"> Hospital (The Second Clinical Medical College</w:t>
      </w:r>
      <w:r w:rsidRPr="00813BC6">
        <w:rPr>
          <w:rFonts w:ascii="Times New Roman" w:hAnsi="Times New Roman" w:hint="eastAsia"/>
          <w:szCs w:val="21"/>
        </w:rPr>
        <w:t>，</w:t>
      </w:r>
      <w:r w:rsidRPr="00813BC6">
        <w:rPr>
          <w:rFonts w:ascii="Times New Roman" w:hAnsi="Times New Roman" w:hint="eastAsia"/>
          <w:szCs w:val="21"/>
        </w:rPr>
        <w:t>Jinan University</w:t>
      </w:r>
      <w:r w:rsidRPr="00813BC6">
        <w:rPr>
          <w:rFonts w:ascii="Times New Roman" w:hAnsi="Times New Roman" w:hint="eastAsia"/>
          <w:szCs w:val="21"/>
        </w:rPr>
        <w:t>；</w:t>
      </w:r>
      <w:r w:rsidRPr="00813BC6">
        <w:rPr>
          <w:rFonts w:ascii="Times New Roman" w:hAnsi="Times New Roman" w:hint="eastAsia"/>
          <w:szCs w:val="21"/>
        </w:rPr>
        <w:t>The First Affiliated Hospital, Southern University of Science and Technology), Shenzhen 518020, Guangdong, China</w:t>
      </w:r>
    </w:p>
    <w:p w14:paraId="0E53477F" w14:textId="2BEA8D6F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60409AF0" w14:textId="2984CB32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6674071E" w14:textId="0C41EE75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5865A8D6" w14:textId="4F0B0BA2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75CA2349" w14:textId="66B894C3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522FF6BF" w14:textId="1519EB89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1E6D9AB2" w14:textId="6DD473C8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0A6AA6B0" w14:textId="3889581F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08068138" w14:textId="7C9800A8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6E5E1986" w14:textId="2B062A7C" w:rsidR="00347750" w:rsidRDefault="00347750" w:rsidP="00280545">
      <w:pPr>
        <w:spacing w:line="480" w:lineRule="auto"/>
        <w:rPr>
          <w:rFonts w:ascii="Times New Roman" w:hAnsi="Times New Roman" w:cs="Times New Roman"/>
          <w:szCs w:val="21"/>
        </w:rPr>
      </w:pPr>
    </w:p>
    <w:p w14:paraId="07B030EF" w14:textId="0D51EC10" w:rsidR="00347750" w:rsidRDefault="00347750" w:rsidP="00280545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p w14:paraId="5F08EC94" w14:textId="4E11E629" w:rsidR="00347750" w:rsidRDefault="0021409C" w:rsidP="0021409C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70290E0F" wp14:editId="636D9203">
            <wp:extent cx="3335020" cy="88633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F4FA" w14:textId="5F7E8444" w:rsidR="0021409C" w:rsidRDefault="0021409C" w:rsidP="0021409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Figure S1: The expression of the 13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key prognosis-associated genes (</w:t>
      </w:r>
      <w:r>
        <w:rPr>
          <w:rFonts w:ascii="Times New Roman" w:hAnsi="Times New Roman"/>
          <w:sz w:val="24"/>
          <w:szCs w:val="24"/>
        </w:rPr>
        <w:t>TGFBI, GPSM2, STIL, LIFR, CD36, COL4A1, CYFIP2, CKAP2, FAM83D, GPR155, ANKRD22, TMEM171 and STX19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compared GC samples with normal samples based on t</w:t>
      </w:r>
      <w:r>
        <w:rPr>
          <w:rFonts w:ascii="Times New Roman" w:hAnsi="Times New Roman"/>
          <w:sz w:val="24"/>
          <w:szCs w:val="24"/>
        </w:rPr>
        <w:t xml:space="preserve">he GSE51575, GSE118916, GSE79973 and GSE81948 datasets.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TGFBI, STIL, GPSM2, FAM83D, COL4A1 and CKAP2 was up-regulated in the GC samples, whereas </w:t>
      </w:r>
      <w:r>
        <w:rPr>
          <w:rFonts w:ascii="Times New Roman" w:hAnsi="Times New Roman"/>
          <w:sz w:val="24"/>
          <w:szCs w:val="24"/>
        </w:rPr>
        <w:t>LIFR, CD36, CYFIP2, GPR155, ANKRD22, TMEM171 and STX19 was down-regulated in GC samples.</w:t>
      </w:r>
    </w:p>
    <w:p w14:paraId="13A51639" w14:textId="3F52434D" w:rsidR="0021409C" w:rsidRDefault="0021409C" w:rsidP="0021409C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1ECBC76" w14:textId="1816DAFA" w:rsidR="0021409C" w:rsidRDefault="0021409C" w:rsidP="0021409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BE4620" wp14:editId="5625423A">
            <wp:extent cx="5274310" cy="59969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F93D1" w14:textId="77777777" w:rsidR="0021409C" w:rsidRDefault="0021409C" w:rsidP="0021409C">
      <w:pPr>
        <w:spacing w:line="48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igure S2: Progression-free survival (PFS) analysis of the </w:t>
      </w:r>
      <w:r>
        <w:rPr>
          <w:rFonts w:ascii="Times New Roman" w:hAnsi="Times New Roman"/>
          <w:sz w:val="24"/>
          <w:szCs w:val="24"/>
          <w:shd w:val="clear" w:color="auto" w:fill="FFFFFF"/>
        </w:rPr>
        <w:t>13 key prognosis-associated genes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宋体" w:hAnsi="Times New Roman"/>
          <w:bCs/>
          <w:kern w:val="36"/>
          <w:sz w:val="24"/>
          <w:szCs w:val="24"/>
        </w:rPr>
        <w:t xml:space="preserve">based on GSE26253 dataset. </w:t>
      </w:r>
      <w:r>
        <w:rPr>
          <w:rFonts w:ascii="Times New Roman" w:hAnsi="Times New Roman"/>
          <w:sz w:val="24"/>
          <w:szCs w:val="24"/>
        </w:rPr>
        <w:t xml:space="preserve">TMEM171 and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TGFBI was closely associated with PFS, whereas others were not associated with PFS. </w:t>
      </w:r>
    </w:p>
    <w:p w14:paraId="1FB78817" w14:textId="72869370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2FD319B6" w14:textId="508E35DB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AB4EB1F" w14:textId="09ACF8EE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4BD66EE5" w14:textId="7C691603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667E7496" w14:textId="1C87763D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035D3CE2" wp14:editId="064178B3">
            <wp:extent cx="4345940" cy="88633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4190" w14:textId="77777777" w:rsidR="0021409C" w:rsidRDefault="0021409C" w:rsidP="0021409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lastRenderedPageBreak/>
        <w:t>F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igure S3: A, </w:t>
      </w:r>
      <w:r>
        <w:rPr>
          <w:rFonts w:ascii="Times New Roman" w:hAnsi="Times New Roman"/>
          <w:sz w:val="24"/>
          <w:szCs w:val="24"/>
        </w:rPr>
        <w:t xml:space="preserve">The GC patients with higher TMEM171 expression had a better OS than that with lower TMEM171 expression based on TCGA dataset; B, ROC analysis for forecasting overall survival (OS) based on TCGA dataset; C, Multivariate regression analysis revealed that TMEM171 was closely revealed with prognosis of GC patients based on GSE62254; D, Functional enrichment analysis of TMEM171 based on GSE62254. </w:t>
      </w:r>
    </w:p>
    <w:p w14:paraId="13CFB75D" w14:textId="04506DEC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1C95B3CE" w14:textId="361F9ABC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5800146" w14:textId="4ABDD89C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02BAE03" w14:textId="56BFA505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112A9B71" w14:textId="2A9A03BC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18E1A49" w14:textId="73935E4C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77958C82" w14:textId="3F3C3DA7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05161533" w14:textId="3B37FDB9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6E0D84E3" w14:textId="17AFDAC6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50689D65" w14:textId="586AFFC3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1BE2AE0A" w14:textId="77777777" w:rsidR="0021409C" w:rsidRDefault="0021409C" w:rsidP="0021409C">
      <w:pPr>
        <w:spacing w:line="480" w:lineRule="auto"/>
        <w:rPr>
          <w:rFonts w:ascii="Times New Roman" w:hAnsi="Times New Roman" w:cs="Times New Roman"/>
          <w:szCs w:val="21"/>
        </w:rPr>
      </w:pPr>
    </w:p>
    <w:p w14:paraId="1DBA77A5" w14:textId="0148E6F3" w:rsidR="0021409C" w:rsidRDefault="0021409C" w:rsidP="0021409C">
      <w:pPr>
        <w:spacing w:line="480" w:lineRule="auto"/>
        <w:jc w:val="right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73D39DA4" wp14:editId="5967C8FB">
            <wp:extent cx="4572000" cy="55778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4075" w14:textId="77777777" w:rsidR="0021409C" w:rsidRDefault="0021409C" w:rsidP="0021409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igure S4: The transfect effect of TMEM171 knockdown or overexpression by using </w:t>
      </w:r>
      <w:proofErr w:type="spellStart"/>
      <w:r>
        <w:rPr>
          <w:rFonts w:ascii="Times New Roman" w:hAnsi="Times New Roman"/>
          <w:sz w:val="24"/>
          <w:szCs w:val="24"/>
        </w:rPr>
        <w:t>qRT</w:t>
      </w:r>
      <w:proofErr w:type="spellEnd"/>
      <w:r>
        <w:rPr>
          <w:rFonts w:ascii="Times New Roman" w:hAnsi="Times New Roman"/>
          <w:sz w:val="24"/>
          <w:szCs w:val="24"/>
        </w:rPr>
        <w:t xml:space="preserve">-PCR and western blotting in Hs-746T and HGC-27 cells. </w:t>
      </w:r>
    </w:p>
    <w:p w14:paraId="64D09C04" w14:textId="602DA86A" w:rsidR="0021409C" w:rsidRDefault="0021409C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52A2C40C" w14:textId="4947DC85" w:rsidR="00BC0BBE" w:rsidRDefault="00BC0BBE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64E3C430" w14:textId="10EA5888" w:rsidR="00BC0BBE" w:rsidRDefault="00BC0BBE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09530CE3" w14:textId="52220BC6" w:rsidR="00BC0BBE" w:rsidRDefault="00BC0BBE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7F2A8451" w14:textId="1D230C04" w:rsidR="00BC0BBE" w:rsidRDefault="00BC0BBE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6490C134" w14:textId="2050DA3C" w:rsidR="00BC0BBE" w:rsidRDefault="00BC0BBE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61B9F9F1" w14:textId="77777777" w:rsidR="00BC0BBE" w:rsidRPr="00BC0BBE" w:rsidRDefault="00BC0BBE" w:rsidP="00BC0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0BBE">
        <w:rPr>
          <w:rFonts w:ascii="Times New Roman" w:hAnsi="Times New Roman" w:cs="Times New Roman"/>
          <w:sz w:val="24"/>
          <w:szCs w:val="24"/>
        </w:rPr>
        <w:lastRenderedPageBreak/>
        <w:t xml:space="preserve">Table S1 Primers and oligonucleotides sequences used in present study. </w:t>
      </w:r>
    </w:p>
    <w:tbl>
      <w:tblPr>
        <w:tblW w:w="8522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554"/>
        <w:gridCol w:w="5968"/>
      </w:tblGrid>
      <w:tr w:rsidR="00BC0BBE" w:rsidRPr="00BC0BBE" w14:paraId="391E1988" w14:textId="77777777" w:rsidTr="00017CE6"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B68E8F" w14:textId="77777777" w:rsidR="00BC0BBE" w:rsidRPr="00BC0BBE" w:rsidRDefault="00BC0BBE" w:rsidP="00017CE6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9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87CF08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Sequence 5'-3'</w:t>
            </w:r>
          </w:p>
        </w:tc>
      </w:tr>
      <w:tr w:rsidR="00BC0BBE" w:rsidRPr="00BC0BBE" w14:paraId="01F6EAED" w14:textId="77777777" w:rsidTr="00017CE6"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14:paraId="52C65604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TMEM171 forward</w:t>
            </w:r>
          </w:p>
        </w:tc>
        <w:tc>
          <w:tcPr>
            <w:tcW w:w="5968" w:type="dxa"/>
            <w:tcBorders>
              <w:top w:val="single" w:sz="4" w:space="0" w:color="auto"/>
            </w:tcBorders>
            <w:vAlign w:val="center"/>
          </w:tcPr>
          <w:p w14:paraId="1DDEA89A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CCAGTGCCTTATCTTTGGGTT</w:t>
            </w:r>
          </w:p>
        </w:tc>
      </w:tr>
      <w:tr w:rsidR="00BC0BBE" w:rsidRPr="00BC0BBE" w14:paraId="7276BA33" w14:textId="77777777" w:rsidTr="00017CE6">
        <w:tc>
          <w:tcPr>
            <w:tcW w:w="2554" w:type="dxa"/>
            <w:vAlign w:val="center"/>
          </w:tcPr>
          <w:p w14:paraId="789F2471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TMEM171 reverse</w:t>
            </w:r>
          </w:p>
        </w:tc>
        <w:tc>
          <w:tcPr>
            <w:tcW w:w="5968" w:type="dxa"/>
            <w:vAlign w:val="center"/>
          </w:tcPr>
          <w:p w14:paraId="0C45F28D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CTGTCTCGTTTAGCGGTTCCT</w:t>
            </w:r>
          </w:p>
        </w:tc>
      </w:tr>
      <w:tr w:rsidR="00BC0BBE" w:rsidRPr="00BC0BBE" w14:paraId="2326C0AC" w14:textId="77777777" w:rsidTr="00017CE6">
        <w:tc>
          <w:tcPr>
            <w:tcW w:w="2554" w:type="dxa"/>
            <w:vAlign w:val="center"/>
          </w:tcPr>
          <w:p w14:paraId="4FD23275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GAPDH forward</w:t>
            </w:r>
          </w:p>
        </w:tc>
        <w:tc>
          <w:tcPr>
            <w:tcW w:w="5968" w:type="dxa"/>
            <w:vAlign w:val="center"/>
          </w:tcPr>
          <w:p w14:paraId="4DE69D20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ACAGCCTCAAGATCATCAGC</w:t>
            </w:r>
          </w:p>
        </w:tc>
      </w:tr>
      <w:tr w:rsidR="00BC0BBE" w:rsidRPr="00BC0BBE" w14:paraId="3FC0BD32" w14:textId="77777777" w:rsidTr="00017CE6">
        <w:tc>
          <w:tcPr>
            <w:tcW w:w="2554" w:type="dxa"/>
            <w:vAlign w:val="center"/>
          </w:tcPr>
          <w:p w14:paraId="20BA5D7A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GAPDH reverse</w:t>
            </w:r>
          </w:p>
        </w:tc>
        <w:tc>
          <w:tcPr>
            <w:tcW w:w="5968" w:type="dxa"/>
            <w:vAlign w:val="center"/>
          </w:tcPr>
          <w:p w14:paraId="28A0E6BE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GGTCATGAGTCCTTCCACGAT</w:t>
            </w:r>
          </w:p>
        </w:tc>
      </w:tr>
      <w:tr w:rsidR="00BC0BBE" w:rsidRPr="00BC0BBE" w14:paraId="54E02766" w14:textId="77777777" w:rsidTr="00017CE6">
        <w:trPr>
          <w:trHeight w:val="637"/>
        </w:trPr>
        <w:tc>
          <w:tcPr>
            <w:tcW w:w="2554" w:type="dxa"/>
            <w:vAlign w:val="center"/>
          </w:tcPr>
          <w:p w14:paraId="60270D84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shTMEM171-1 forward</w:t>
            </w:r>
          </w:p>
        </w:tc>
        <w:tc>
          <w:tcPr>
            <w:tcW w:w="5968" w:type="dxa"/>
            <w:vAlign w:val="center"/>
          </w:tcPr>
          <w:p w14:paraId="553E5F70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GATCCGCCCATGTTAAGAAGAGAAACCTCGAGGTTTCTCTTCTTAACATGGGCTTTTTG</w:t>
            </w:r>
          </w:p>
        </w:tc>
      </w:tr>
      <w:tr w:rsidR="00BC0BBE" w:rsidRPr="00BC0BBE" w14:paraId="3098444F" w14:textId="77777777" w:rsidTr="00017CE6">
        <w:tc>
          <w:tcPr>
            <w:tcW w:w="2554" w:type="dxa"/>
            <w:vAlign w:val="center"/>
            <w:hideMark/>
          </w:tcPr>
          <w:p w14:paraId="36545A7C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shTMEM171-1 reverse</w:t>
            </w:r>
          </w:p>
        </w:tc>
        <w:tc>
          <w:tcPr>
            <w:tcW w:w="5968" w:type="dxa"/>
            <w:vAlign w:val="center"/>
            <w:hideMark/>
          </w:tcPr>
          <w:p w14:paraId="5D200623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AATTCAAAAAGCCCATGTTAAGAAGAGAAACCTCGAGGTTTCTCTTCTTAACATGGGCG</w:t>
            </w:r>
          </w:p>
        </w:tc>
      </w:tr>
      <w:tr w:rsidR="00BC0BBE" w:rsidRPr="00BC0BBE" w14:paraId="2C5E264B" w14:textId="77777777" w:rsidTr="00017CE6">
        <w:tc>
          <w:tcPr>
            <w:tcW w:w="2554" w:type="dxa"/>
            <w:vAlign w:val="center"/>
            <w:hideMark/>
          </w:tcPr>
          <w:p w14:paraId="5C814B23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shTMEM171-2 forward</w:t>
            </w:r>
          </w:p>
        </w:tc>
        <w:tc>
          <w:tcPr>
            <w:tcW w:w="5968" w:type="dxa"/>
            <w:vAlign w:val="center"/>
            <w:hideMark/>
          </w:tcPr>
          <w:p w14:paraId="672C5FA5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GATCCGCTGAGAGTCCTGGAACTAACCTCGAGGTTAGTTCCAGGACTCTCAGCTTTTTG</w:t>
            </w:r>
          </w:p>
        </w:tc>
      </w:tr>
      <w:tr w:rsidR="00BC0BBE" w:rsidRPr="00BC0BBE" w14:paraId="075CC77C" w14:textId="77777777" w:rsidTr="00017CE6">
        <w:tc>
          <w:tcPr>
            <w:tcW w:w="2554" w:type="dxa"/>
            <w:tcBorders>
              <w:bottom w:val="single" w:sz="4" w:space="0" w:color="auto"/>
            </w:tcBorders>
            <w:vAlign w:val="center"/>
            <w:hideMark/>
          </w:tcPr>
          <w:p w14:paraId="32EFCD8F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shTMEM171-2 reverse</w:t>
            </w:r>
          </w:p>
        </w:tc>
        <w:tc>
          <w:tcPr>
            <w:tcW w:w="5968" w:type="dxa"/>
            <w:tcBorders>
              <w:bottom w:val="single" w:sz="4" w:space="0" w:color="auto"/>
            </w:tcBorders>
            <w:vAlign w:val="center"/>
            <w:hideMark/>
          </w:tcPr>
          <w:p w14:paraId="34ADB746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E">
              <w:rPr>
                <w:rFonts w:ascii="Times New Roman" w:hAnsi="Times New Roman" w:cs="Times New Roman"/>
                <w:sz w:val="24"/>
                <w:szCs w:val="24"/>
              </w:rPr>
              <w:t>AATTCAAAAAGCTGAGAGTCCTGGAACTAACCTCGAGGTTAGTTCCAGGACTCTCAGCG</w:t>
            </w:r>
          </w:p>
        </w:tc>
      </w:tr>
      <w:tr w:rsidR="00BC0BBE" w:rsidRPr="00BC0BBE" w14:paraId="2F3521C0" w14:textId="77777777" w:rsidTr="00017CE6"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14:paraId="0D5D855D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</w:tcBorders>
            <w:vAlign w:val="center"/>
          </w:tcPr>
          <w:p w14:paraId="57D205CB" w14:textId="77777777" w:rsidR="00BC0BBE" w:rsidRPr="00BC0BBE" w:rsidRDefault="00BC0BBE" w:rsidP="00017CE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D0EA51" w14:textId="706E4216" w:rsidR="00BC0BBE" w:rsidRDefault="00BC0BBE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50EA43CC" w14:textId="4637C20D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641C3780" w14:textId="298A0DFB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30471FEA" w14:textId="33A023A8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2184C118" w14:textId="7CF0801F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31700D43" w14:textId="32B9A1AD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167C37A0" w14:textId="366EBD6F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516609AA" w14:textId="528D9D64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1DDBEEFB" w14:textId="196BCB02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5757CB90" w14:textId="5E294A39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711150A9" w14:textId="40504913" w:rsidR="00204114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p w14:paraId="5116FD11" w14:textId="77777777" w:rsidR="00204114" w:rsidRPr="00DD2D39" w:rsidRDefault="00204114" w:rsidP="0020411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DD2D39">
        <w:rPr>
          <w:rFonts w:ascii="Times New Roman" w:hAnsi="Times New Roman"/>
          <w:sz w:val="24"/>
          <w:szCs w:val="24"/>
        </w:rPr>
        <w:lastRenderedPageBreak/>
        <w:t>Table S2 The genes associated with overall survival (OS) in gastric cancer</w:t>
      </w:r>
    </w:p>
    <w:tbl>
      <w:tblPr>
        <w:tblW w:w="75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2552"/>
        <w:gridCol w:w="1984"/>
      </w:tblGrid>
      <w:tr w:rsidR="00204114" w:rsidRPr="00157EDA" w14:paraId="2E97AEB8" w14:textId="77777777" w:rsidTr="00017CE6">
        <w:trPr>
          <w:trHeight w:val="270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7588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C2DB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2133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Hazard ratio (95%CI)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7904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204114" w:rsidRPr="00157EDA" w14:paraId="341066EE" w14:textId="77777777" w:rsidTr="00017CE6">
        <w:trPr>
          <w:trHeight w:val="270"/>
        </w:trPr>
        <w:tc>
          <w:tcPr>
            <w:tcW w:w="1271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68D0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STIL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D2A9F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8F0E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0.23(0.13-0.42)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D966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2.00E-06</w:t>
            </w:r>
          </w:p>
        </w:tc>
      </w:tr>
      <w:tr w:rsidR="00204114" w:rsidRPr="00157EDA" w14:paraId="0266D6E3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98D0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GPR155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52EB3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D4FF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3.4(2.1-5.7)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250E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2.50E-06</w:t>
            </w:r>
          </w:p>
        </w:tc>
      </w:tr>
      <w:tr w:rsidR="00204114" w:rsidRPr="00157EDA" w14:paraId="4E1B153E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E669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FAM83D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22AB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E5F8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4(2.2-7.3)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3100A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8.20E-06</w:t>
            </w:r>
          </w:p>
        </w:tc>
      </w:tr>
      <w:tr w:rsidR="00204114" w:rsidRPr="00157EDA" w14:paraId="2E64CDD3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ABB8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ACTN1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9C36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9FC3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15(4.5-50)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C17E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9.60E-06</w:t>
            </w:r>
          </w:p>
        </w:tc>
      </w:tr>
      <w:tr w:rsidR="00204114" w:rsidRPr="00157EDA" w14:paraId="2C4291B8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8E35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CEP55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5F8E3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018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0.33(0.2-0.55)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A0C9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1.30E-05</w:t>
            </w:r>
          </w:p>
        </w:tc>
      </w:tr>
      <w:tr w:rsidR="00204114" w:rsidRPr="00157EDA" w14:paraId="3AA39DA4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CF99E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DNER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0D79A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BE11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1.9(1.4-2.6)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65D3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2.20E-05</w:t>
            </w:r>
          </w:p>
        </w:tc>
      </w:tr>
      <w:tr w:rsidR="00204114" w:rsidRPr="00157EDA" w14:paraId="129EEBA7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3641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NEK2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2783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B2EA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0.33(0.19-0.55)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A6202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2.50E-05</w:t>
            </w:r>
          </w:p>
        </w:tc>
      </w:tr>
      <w:tr w:rsidR="00204114" w:rsidRPr="00157EDA" w14:paraId="6ACB80F7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32222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ECT2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1629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03EF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0.15(0.062-0.36)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BF96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2.90E-05</w:t>
            </w:r>
          </w:p>
        </w:tc>
      </w:tr>
      <w:tr w:rsidR="00204114" w:rsidRPr="00157EDA" w14:paraId="0E021CDE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F7C7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BUB1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5C68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-3.3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195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0.036(0.0074-0.17)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19D0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3.30E-05</w:t>
            </w:r>
          </w:p>
        </w:tc>
      </w:tr>
      <w:tr w:rsidR="00204114" w:rsidRPr="00157EDA" w14:paraId="0579A73E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A25C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KIF2C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7EE7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3A39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0.25(0.13-0.48)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7EBB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3.50E-05</w:t>
            </w:r>
          </w:p>
        </w:tc>
      </w:tr>
      <w:tr w:rsidR="00204114" w:rsidRPr="00157EDA" w14:paraId="2E7AFA2E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1A302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CYFIP2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7410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6269F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3.9(2-7.5)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4786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4.50E-05</w:t>
            </w:r>
          </w:p>
        </w:tc>
      </w:tr>
      <w:tr w:rsidR="00204114" w:rsidRPr="00157EDA" w14:paraId="0C65F3A5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C817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BGN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07CE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4009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4.6(2.2-9.6)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63D9A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4.50E-05</w:t>
            </w:r>
          </w:p>
        </w:tc>
      </w:tr>
      <w:tr w:rsidR="00204114" w:rsidRPr="00157EDA" w14:paraId="32E0161E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0CB5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COL4A1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D6F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C66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4.5(2.2-9.4)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D37B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5.00E-05</w:t>
            </w:r>
          </w:p>
        </w:tc>
      </w:tr>
      <w:tr w:rsidR="00204114" w:rsidRPr="00157EDA" w14:paraId="5035E436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D492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MAD2L1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D19B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1521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0.29(0.16-0.53)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5E09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5.10E-05</w:t>
            </w:r>
          </w:p>
        </w:tc>
      </w:tr>
      <w:tr w:rsidR="00204114" w:rsidRPr="00157EDA" w14:paraId="6D8C34C8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BFE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CCNB1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F34BE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75AD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0.34(0.2-0.57)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44FF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5.30E-05</w:t>
            </w:r>
          </w:p>
        </w:tc>
      </w:tr>
      <w:tr w:rsidR="00204114" w:rsidRPr="00157EDA" w14:paraId="771CDAB7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C14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CKAP2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0E543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-3.2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809B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0.042(0.008-0.22)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98B2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1.70E-04</w:t>
            </w:r>
          </w:p>
        </w:tc>
      </w:tr>
      <w:tr w:rsidR="00204114" w:rsidRPr="00157EDA" w14:paraId="3BE6D2E4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FA67A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TMEM171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263DE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E3BC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0.23(0.1-0.51)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80C2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2.70E-04</w:t>
            </w:r>
          </w:p>
        </w:tc>
      </w:tr>
      <w:tr w:rsidR="00204114" w:rsidRPr="00157EDA" w14:paraId="64BD2FD3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53A7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KL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FAAB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4E1A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3.3(1.7-6.4)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1C632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3.00E-04</w:t>
            </w:r>
          </w:p>
        </w:tc>
      </w:tr>
      <w:tr w:rsidR="00204114" w:rsidRPr="00157EDA" w14:paraId="33F351E0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08C5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DTL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3E80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91DE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0.34(0.19-0.61)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CD3B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3.20E-04</w:t>
            </w:r>
          </w:p>
        </w:tc>
      </w:tr>
      <w:tr w:rsidR="00204114" w:rsidRPr="00157EDA" w14:paraId="09F975BC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8C6F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GPSM2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6566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CC83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0.16(0.055-0.44)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95E0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4.10E-04</w:t>
            </w:r>
          </w:p>
        </w:tc>
      </w:tr>
      <w:tr w:rsidR="00204114" w:rsidRPr="00157EDA" w14:paraId="6C43DA2F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6677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ASPM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B321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D869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0.34(0.19-0.62)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1B183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4.60E-04</w:t>
            </w:r>
          </w:p>
        </w:tc>
      </w:tr>
      <w:tr w:rsidR="00204114" w:rsidRPr="00157EDA" w14:paraId="157C042B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636F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TGFBI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8296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35A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3.1(1.7-6)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D15D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4.60E-04</w:t>
            </w:r>
          </w:p>
        </w:tc>
      </w:tr>
      <w:tr w:rsidR="00204114" w:rsidRPr="00157EDA" w14:paraId="426A7CFF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8B37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STX19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9F83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4D00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0.41(0.25-0.68)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D087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5.10E-04</w:t>
            </w:r>
          </w:p>
        </w:tc>
      </w:tr>
      <w:tr w:rsidR="00204114" w:rsidRPr="00157EDA" w14:paraId="76341539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0C3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CD36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3820E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13864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4.3(1.9-9.9)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D1DF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5.50E-04</w:t>
            </w:r>
          </w:p>
        </w:tc>
      </w:tr>
      <w:tr w:rsidR="00204114" w:rsidRPr="00157EDA" w14:paraId="11F0A94A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F334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ANKRD22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E0EB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774F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0.38(0.22-0.67)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F3CE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6.70E-04</w:t>
            </w:r>
          </w:p>
        </w:tc>
      </w:tr>
      <w:tr w:rsidR="00204114" w:rsidRPr="00157EDA" w14:paraId="6FAD49D5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B2BE9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LIFR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0740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0A123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2.7(1.5-5)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29F13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7.50E-04</w:t>
            </w:r>
          </w:p>
        </w:tc>
      </w:tr>
      <w:tr w:rsidR="00204114" w:rsidRPr="00157EDA" w14:paraId="2E7856CE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6577A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CENPF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6E12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7617D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0.21(0.085-0.52)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3E29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7.50E-04</w:t>
            </w:r>
          </w:p>
        </w:tc>
      </w:tr>
      <w:tr w:rsidR="00204114" w:rsidRPr="00157EDA" w14:paraId="193E34D1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6ED2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SLC16A7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50CF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E6B98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2.5(1.5-4.3)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26B60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8.20E-04</w:t>
            </w:r>
          </w:p>
        </w:tc>
      </w:tr>
      <w:tr w:rsidR="00204114" w:rsidRPr="00157EDA" w14:paraId="66DC0760" w14:textId="77777777" w:rsidTr="00017CE6">
        <w:trPr>
          <w:trHeight w:val="270"/>
        </w:trPr>
        <w:tc>
          <w:tcPr>
            <w:tcW w:w="12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D01D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ADHFE1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FBEF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B21B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6.3(2.1-19)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97BB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8.60E-04</w:t>
            </w:r>
          </w:p>
        </w:tc>
      </w:tr>
      <w:tr w:rsidR="00204114" w:rsidRPr="00157EDA" w14:paraId="572A263E" w14:textId="77777777" w:rsidTr="00017CE6">
        <w:trPr>
          <w:trHeight w:val="270"/>
        </w:trPr>
        <w:tc>
          <w:tcPr>
            <w:tcW w:w="127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3DD4C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UBE2T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D63E7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-1.1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E9711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0.33(0.17-0.64)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654A5" w14:textId="77777777" w:rsidR="00204114" w:rsidRPr="00157EDA" w:rsidRDefault="00204114" w:rsidP="00017CE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ED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9.00E-04</w:t>
            </w:r>
          </w:p>
        </w:tc>
      </w:tr>
    </w:tbl>
    <w:p w14:paraId="0709EC5F" w14:textId="77777777" w:rsidR="00204114" w:rsidRPr="00DD2D39" w:rsidRDefault="00204114" w:rsidP="0020411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6310241C" w14:textId="77777777" w:rsidR="00204114" w:rsidRPr="00BC0BBE" w:rsidRDefault="00204114" w:rsidP="0021409C">
      <w:pPr>
        <w:spacing w:line="480" w:lineRule="auto"/>
        <w:ind w:right="840"/>
        <w:rPr>
          <w:rFonts w:ascii="Times New Roman" w:hAnsi="Times New Roman" w:cs="Times New Roman"/>
          <w:szCs w:val="21"/>
        </w:rPr>
      </w:pPr>
    </w:p>
    <w:sectPr w:rsidR="00204114" w:rsidRPr="00BC0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CA52" w14:textId="77777777" w:rsidR="00FF1AFA" w:rsidRDefault="00FF1AFA" w:rsidP="00BC0BBE">
      <w:r>
        <w:separator/>
      </w:r>
    </w:p>
  </w:endnote>
  <w:endnote w:type="continuationSeparator" w:id="0">
    <w:p w14:paraId="404ED255" w14:textId="77777777" w:rsidR="00FF1AFA" w:rsidRDefault="00FF1AFA" w:rsidP="00BC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37E2" w14:textId="77777777" w:rsidR="00FF1AFA" w:rsidRDefault="00FF1AFA" w:rsidP="00BC0BBE">
      <w:r>
        <w:separator/>
      </w:r>
    </w:p>
  </w:footnote>
  <w:footnote w:type="continuationSeparator" w:id="0">
    <w:p w14:paraId="55B62722" w14:textId="77777777" w:rsidR="00FF1AFA" w:rsidRDefault="00FF1AFA" w:rsidP="00BC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6DBF"/>
    <w:multiLevelType w:val="hybridMultilevel"/>
    <w:tmpl w:val="38E8AEFE"/>
    <w:lvl w:ilvl="0" w:tplc="E86E6BE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  <w:color w:val="1F1F1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3F"/>
    <w:rsid w:val="00204114"/>
    <w:rsid w:val="0021409C"/>
    <w:rsid w:val="00272AEB"/>
    <w:rsid w:val="00280545"/>
    <w:rsid w:val="002B04A4"/>
    <w:rsid w:val="00347750"/>
    <w:rsid w:val="0045657D"/>
    <w:rsid w:val="004C5220"/>
    <w:rsid w:val="004E62D3"/>
    <w:rsid w:val="00945F72"/>
    <w:rsid w:val="00B10464"/>
    <w:rsid w:val="00B7716E"/>
    <w:rsid w:val="00BC0BBE"/>
    <w:rsid w:val="00DD28C6"/>
    <w:rsid w:val="00DF453F"/>
    <w:rsid w:val="00E9697E"/>
    <w:rsid w:val="00F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3B0D3"/>
  <w15:chartTrackingRefBased/>
  <w15:docId w15:val="{F54045AA-9C8B-46C8-8487-B9892105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0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0BBE"/>
    <w:rPr>
      <w:sz w:val="18"/>
      <w:szCs w:val="18"/>
    </w:rPr>
  </w:style>
  <w:style w:type="paragraph" w:styleId="a7">
    <w:name w:val="List Paragraph"/>
    <w:basedOn w:val="a"/>
    <w:uiPriority w:val="34"/>
    <w:qFormat/>
    <w:rsid w:val="00DD28C6"/>
    <w:pPr>
      <w:spacing w:after="200" w:line="276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De</dc:creator>
  <cp:keywords/>
  <dc:description/>
  <cp:lastModifiedBy>LI De</cp:lastModifiedBy>
  <cp:revision>14</cp:revision>
  <dcterms:created xsi:type="dcterms:W3CDTF">2021-12-18T09:40:00Z</dcterms:created>
  <dcterms:modified xsi:type="dcterms:W3CDTF">2022-01-01T15:57:00Z</dcterms:modified>
</cp:coreProperties>
</file>