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74" w:rsidRPr="00000CB8" w:rsidRDefault="00A91C74" w:rsidP="00A91C7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"/>
        </w:rPr>
        <w:t>S</w:t>
      </w:r>
      <w:r w:rsidRPr="00000CB8">
        <w:rPr>
          <w:rFonts w:ascii="Times New Roman" w:hAnsi="Times New Roman" w:cs="Times New Roman"/>
          <w:b/>
          <w:bCs/>
          <w:lang w:val="en"/>
        </w:rPr>
        <w:t>upplementary material</w:t>
      </w:r>
      <w:r w:rsidRPr="00000CB8">
        <w:rPr>
          <w:rFonts w:ascii="Times New Roman" w:hAnsi="Times New Roman" w:cs="Times New Roman"/>
          <w:b/>
          <w:bCs/>
          <w:lang w:val="en-US"/>
        </w:rPr>
        <w:t xml:space="preserve"> 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000CB8">
        <w:rPr>
          <w:rFonts w:ascii="Times New Roman" w:hAnsi="Times New Roman" w:cs="Times New Roman"/>
          <w:b/>
          <w:bCs/>
          <w:lang w:val="en-US"/>
        </w:rPr>
        <w:t xml:space="preserve">1. </w:t>
      </w:r>
      <w:r w:rsidRPr="006605AB">
        <w:rPr>
          <w:rFonts w:ascii="Times New Roman" w:hAnsi="Times New Roman" w:cs="Times New Roman"/>
          <w:lang w:val="en-IE"/>
        </w:rPr>
        <w:t xml:space="preserve">Mean differences </w:t>
      </w:r>
      <w:r>
        <w:rPr>
          <w:rFonts w:ascii="Times New Roman" w:hAnsi="Times New Roman" w:cs="Times New Roman"/>
          <w:lang w:val="en-IE"/>
        </w:rPr>
        <w:t xml:space="preserve">in </w:t>
      </w:r>
      <w:r w:rsidRPr="006605AB">
        <w:rPr>
          <w:rFonts w:ascii="Times New Roman" w:hAnsi="Times New Roman" w:cs="Times New Roman"/>
          <w:lang w:val="en-IE"/>
        </w:rPr>
        <w:t>clinical</w:t>
      </w:r>
      <w:r>
        <w:rPr>
          <w:rFonts w:ascii="Times New Roman" w:hAnsi="Times New Roman" w:cs="Times New Roman"/>
          <w:lang w:val="en-IE"/>
        </w:rPr>
        <w:t xml:space="preserve"> and radiological</w:t>
      </w:r>
      <w:r w:rsidRPr="006605AB">
        <w:rPr>
          <w:rFonts w:ascii="Times New Roman" w:hAnsi="Times New Roman" w:cs="Times New Roman"/>
          <w:lang w:val="en-IE"/>
        </w:rPr>
        <w:t xml:space="preserve"> outcomes by types of surgery</w:t>
      </w:r>
      <w:r>
        <w:rPr>
          <w:rFonts w:ascii="Times New Roman" w:hAnsi="Times New Roman" w:cs="Times New Roman"/>
          <w:lang w:val="en-IE"/>
        </w:rPr>
        <w:t xml:space="preserve"> at the end of follow-up</w:t>
      </w:r>
      <w:r w:rsidRPr="006605AB">
        <w:rPr>
          <w:rFonts w:ascii="Times New Roman" w:hAnsi="Times New Roman" w:cs="Times New Roman"/>
          <w:b/>
          <w:bCs/>
          <w:lang w:val="en-IE"/>
        </w:rPr>
        <w:t>.</w:t>
      </w:r>
    </w:p>
    <w:tbl>
      <w:tblPr>
        <w:tblStyle w:val="Tablaconcuadrcula2"/>
        <w:tblpPr w:leftFromText="141" w:rightFromText="141" w:vertAnchor="page" w:horzAnchor="margin" w:tblpY="2086"/>
        <w:tblW w:w="91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"/>
        <w:gridCol w:w="1947"/>
        <w:gridCol w:w="2290"/>
        <w:gridCol w:w="1771"/>
        <w:gridCol w:w="1588"/>
      </w:tblGrid>
      <w:tr w:rsidR="00A91C74" w:rsidRPr="00701FF3" w:rsidTr="00A91C74">
        <w:trPr>
          <w:trHeight w:val="229"/>
        </w:trPr>
        <w:tc>
          <w:tcPr>
            <w:tcW w:w="160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Outcomes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Chevron 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osteotomy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(16)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Scarf 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osteotomy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(24)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Percutaneous surgery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(32)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 value*</w:t>
            </w:r>
          </w:p>
        </w:tc>
      </w:tr>
      <w:tr w:rsidR="00A91C74" w:rsidRPr="00585998" w:rsidTr="00A91C74">
        <w:trPr>
          <w:trHeight w:val="229"/>
        </w:trPr>
        <w:tc>
          <w:tcPr>
            <w:tcW w:w="1601" w:type="dxa"/>
            <w:tcBorders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VAS </w:t>
            </w: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b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A91C74" w:rsidRPr="00585998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A91C74" w:rsidRPr="00585998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1.38±0.95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1.52±0.85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1.03±1.03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0.173</w:t>
            </w:r>
          </w:p>
        </w:tc>
      </w:tr>
      <w:tr w:rsidR="00A91C74" w:rsidRPr="00585998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AOFAS </w:t>
            </w: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84.31±5.53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81.87±6.00</w:t>
            </w:r>
          </w:p>
        </w:tc>
        <w:tc>
          <w:tcPr>
            <w:tcW w:w="177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83.81±6.80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0.438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Pain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33.12±4.78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31.74±3.87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34.38±5.04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0.101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Function 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37.50±2.44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38.48±2.87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37.72±2.91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0.428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Alignment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13.69±2.82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11.65±3.57</w:t>
            </w:r>
          </w:p>
        </w:tc>
        <w:tc>
          <w:tcPr>
            <w:tcW w:w="177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11.72±3.55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0.141</w:t>
            </w:r>
          </w:p>
        </w:tc>
      </w:tr>
      <w:tr w:rsidR="00A91C74" w:rsidRPr="00585998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MOXFQ </w:t>
            </w: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b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41"/>
        </w:trPr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12.30±4.63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13.10±5.17</w:t>
            </w:r>
          </w:p>
        </w:tc>
        <w:tc>
          <w:tcPr>
            <w:tcW w:w="177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11.99±4.84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0.796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Pain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11.25±5.62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12.17±5.80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9.53±7.96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0.366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Walking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15.81±6.78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15.18±7.70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14.80±7.71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0.898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Social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7.81±2.79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10.86±5.72</w:t>
            </w:r>
          </w:p>
        </w:tc>
        <w:tc>
          <w:tcPr>
            <w:tcW w:w="177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10.74±5.98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0.167</w:t>
            </w:r>
          </w:p>
        </w:tc>
      </w:tr>
      <w:tr w:rsidR="00A91C74" w:rsidRPr="00585998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SF-12 </w:t>
            </w: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585998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PCS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47.37±4.84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44.73±4.34</w:t>
            </w:r>
            <w:r w:rsidRPr="0030041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  <w:t>f</w:t>
            </w:r>
          </w:p>
        </w:tc>
        <w:tc>
          <w:tcPr>
            <w:tcW w:w="177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48.70±4.60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0.006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MCS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45.56±2.94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47.53±3.92</w:t>
            </w:r>
          </w:p>
        </w:tc>
        <w:tc>
          <w:tcPr>
            <w:tcW w:w="177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46.18±4.81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0.302</w:t>
            </w:r>
          </w:p>
        </w:tc>
      </w:tr>
      <w:tr w:rsidR="00A91C74" w:rsidRPr="00585998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EQ-5D </w:t>
            </w:r>
            <w:r w:rsidRPr="00D329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D3291E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       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0.91±0.09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          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0.88±0.09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0.90±0.11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0.691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1B21AA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HVA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c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10.31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1.08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9.91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0.93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10.40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1.01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0.185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1B21AA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r w:rsidRPr="001B21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1-2 </w:t>
            </w:r>
            <w:proofErr w:type="spellStart"/>
            <w:r w:rsidRPr="001B21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IMA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c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1B21AA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 </w:t>
            </w:r>
            <w:r w:rsidRPr="001B21AA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Total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300410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7.68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0.79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  <w:t>d,e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300410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7.04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  <w:t>f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8.22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0.70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300410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3004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0.001</w:t>
            </w: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1B21AA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</w:pPr>
            <w:proofErr w:type="spellStart"/>
            <w:r w:rsidRPr="001B21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DMAA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IE"/>
              </w:rPr>
              <w:t>c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A91C74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rPr>
          <w:trHeight w:val="229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A91C74" w:rsidRPr="001B21AA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 xml:space="preserve">  </w:t>
            </w:r>
            <w:r w:rsidRPr="001B21AA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Total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:rsidR="00A91C74" w:rsidRPr="005C7B16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6.50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  <w:t>g,e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A91C74" w:rsidRPr="005C7B16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8.58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IE"/>
              </w:rPr>
              <w:t>h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7.31</w:t>
            </w: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0.64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3004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0.001</w:t>
            </w:r>
          </w:p>
        </w:tc>
      </w:tr>
      <w:tr w:rsidR="00A91C74" w:rsidRPr="00A91C74" w:rsidTr="00A91C74">
        <w:trPr>
          <w:trHeight w:val="229"/>
        </w:trPr>
        <w:tc>
          <w:tcPr>
            <w:tcW w:w="9197" w:type="dxa"/>
            <w:gridSpan w:val="5"/>
            <w:tcBorders>
              <w:bottom w:val="nil"/>
            </w:tcBorders>
          </w:tcPr>
          <w:p w:rsidR="00A91C74" w:rsidRPr="00D3291E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Values are marginal estimated means ± SD. Bold values indicate statistical significance </w:t>
            </w:r>
            <w:r w:rsidRPr="00D3291E">
              <w:rPr>
                <w:rFonts w:ascii="Times New Roman" w:eastAsia="Calibri" w:hAnsi="Times New Roman" w:cs="Times New Roman"/>
                <w:i/>
                <w:sz w:val="16"/>
                <w:szCs w:val="16"/>
                <w:lang w:val="en-US"/>
              </w:rPr>
              <w:t>p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≤0.05.</w:t>
            </w:r>
          </w:p>
          <w:p w:rsidR="00A91C74" w:rsidRPr="00D3291E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Abbreviations: VAS,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visual analogue scale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; AOFAS,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American </w:t>
            </w:r>
            <w:proofErr w:type="spellStart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Orthopaedic</w:t>
            </w:r>
            <w:proofErr w:type="spellEnd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Foot and Ankle Society; MOXFQ, Manchester-Oxford Foot Questionnaire; SF-12,Short Form-12 Health Survey; PCS, Physical Component Score; MCS, Mental Component, Score; EQ-5D, EuroQol-5D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;</w:t>
            </w:r>
            <w:r w:rsidRPr="00511758">
              <w:rPr>
                <w:lang w:val="en-US"/>
              </w:rPr>
              <w:t xml:space="preserve"> </w:t>
            </w:r>
            <w:r w:rsidRPr="001B21A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HVA, hallux valgus angle; 1-2 IMA, 1-2 </w:t>
            </w:r>
            <w:proofErr w:type="spellStart"/>
            <w:r w:rsidRPr="001B21A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intermetatarsal</w:t>
            </w:r>
            <w:proofErr w:type="spellEnd"/>
            <w:r w:rsidRPr="001B21A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angle; DMAA, distal metatarsal articular angle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</w:t>
            </w:r>
          </w:p>
          <w:p w:rsidR="00A91C74" w:rsidRPr="00D3291E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proofErr w:type="spellStart"/>
            <w:proofErr w:type="gramStart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>a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Higher</w:t>
            </w:r>
            <w:proofErr w:type="spellEnd"/>
            <w:proofErr w:type="gramEnd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 scores indicate a better health-related quality of life.</w:t>
            </w:r>
          </w:p>
          <w:p w:rsidR="00A91C74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proofErr w:type="spellStart"/>
            <w:proofErr w:type="gramStart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>b</w:t>
            </w:r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Lower</w:t>
            </w:r>
            <w:proofErr w:type="spellEnd"/>
            <w:proofErr w:type="gramEnd"/>
            <w:r w:rsidRPr="00D3291E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 scores indicate a better health-related quality of life.</w:t>
            </w:r>
          </w:p>
          <w:p w:rsidR="00A91C74" w:rsidRPr="00D3291E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 xml:space="preserve">c </w:t>
            </w:r>
            <w:r w:rsidRPr="001B21AA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Lower scores indicate a better radiological outcome</w:t>
            </w:r>
          </w:p>
          <w:p w:rsidR="00A91C74" w:rsidRPr="00794477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Superscript letters indicate statistical significance (P &lt; 0.05) in pairwise mean comparisons using Bonferroni post-hoc test: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>d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 chevron&gt; scarf;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 xml:space="preserve">e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chevron &lt;percutaneous; </w:t>
            </w:r>
            <w:proofErr w:type="spellStart"/>
            <w:r w:rsidRPr="0079447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>f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scarf</w:t>
            </w:r>
            <w:proofErr w:type="spellEnd"/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&lt;percutaneous;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>g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 xml:space="preserve"> chevron &lt; scarf;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IE"/>
              </w:rPr>
              <w:t xml:space="preserve">h </w:t>
            </w: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scarf &gt; percutaneous.</w:t>
            </w:r>
          </w:p>
          <w:p w:rsidR="00A91C74" w:rsidRPr="00794477" w:rsidRDefault="00A91C74" w:rsidP="00A91C7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</w:pPr>
            <w:r w:rsidRPr="00794477">
              <w:rPr>
                <w:rFonts w:ascii="Times New Roman" w:eastAsia="Calibri" w:hAnsi="Times New Roman" w:cs="Times New Roman"/>
                <w:sz w:val="16"/>
                <w:szCs w:val="16"/>
                <w:lang w:val="en-IE"/>
              </w:rPr>
              <w:t>* Analysis of variance test (ANOVA)</w:t>
            </w:r>
          </w:p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</w:tbl>
    <w:p w:rsidR="00F646F8" w:rsidRDefault="00F646F8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</w:pPr>
    </w:p>
    <w:p w:rsidR="00A91C74" w:rsidRDefault="00A91C74">
      <w:pPr>
        <w:rPr>
          <w:lang w:val="en-US"/>
        </w:rPr>
        <w:sectPr w:rsidR="00A91C7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91C74" w:rsidRDefault="00A91C74" w:rsidP="00FD0858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  <w:r>
        <w:rPr>
          <w:rFonts w:ascii="Times New Roman" w:hAnsi="Times New Roman" w:cs="Times New Roman"/>
          <w:b/>
          <w:bCs/>
          <w:lang w:val="en"/>
        </w:rPr>
        <w:lastRenderedPageBreak/>
        <w:t>S</w:t>
      </w:r>
      <w:r w:rsidRPr="00000CB8">
        <w:rPr>
          <w:rFonts w:ascii="Times New Roman" w:hAnsi="Times New Roman" w:cs="Times New Roman"/>
          <w:b/>
          <w:bCs/>
          <w:lang w:val="en"/>
        </w:rPr>
        <w:t>upplementary material</w:t>
      </w:r>
      <w:r>
        <w:rPr>
          <w:rFonts w:ascii="Times New Roman" w:hAnsi="Times New Roman" w:cs="Times New Roman"/>
          <w:b/>
          <w:bCs/>
          <w:lang w:val="en-US"/>
        </w:rPr>
        <w:t xml:space="preserve"> Table S2</w:t>
      </w:r>
      <w:r w:rsidRPr="00701FF3">
        <w:rPr>
          <w:rFonts w:ascii="Times New Roman" w:eastAsia="Calibri" w:hAnsi="Times New Roman" w:cs="Times New Roman"/>
          <w:b/>
          <w:bCs/>
          <w:sz w:val="20"/>
          <w:szCs w:val="20"/>
          <w:lang w:val="en-IE"/>
        </w:rPr>
        <w:t xml:space="preserve">. </w:t>
      </w:r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Mean differences </w:t>
      </w:r>
      <w:r>
        <w:rPr>
          <w:rFonts w:ascii="Times New Roman" w:eastAsia="Calibri" w:hAnsi="Times New Roman" w:cs="Times New Roman"/>
          <w:sz w:val="20"/>
          <w:szCs w:val="20"/>
          <w:lang w:val="en-IE"/>
        </w:rPr>
        <w:t>in</w:t>
      </w:r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 clinical </w:t>
      </w:r>
      <w:r>
        <w:rPr>
          <w:rFonts w:ascii="Times New Roman" w:eastAsia="Calibri" w:hAnsi="Times New Roman" w:cs="Times New Roman"/>
          <w:sz w:val="20"/>
          <w:szCs w:val="20"/>
          <w:lang w:val="en-IE"/>
        </w:rPr>
        <w:t>at the end of follow-up</w:t>
      </w:r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 outcomes by hallux valgus angle (HVA), </w:t>
      </w:r>
      <w:proofErr w:type="spellStart"/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>intermetatarsal</w:t>
      </w:r>
      <w:proofErr w:type="spellEnd"/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 angle (IMA), age and </w:t>
      </w:r>
      <w:r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  </w:t>
      </w:r>
      <w:r w:rsidRPr="00701FF3">
        <w:rPr>
          <w:rFonts w:ascii="Times New Roman" w:eastAsia="Calibri" w:hAnsi="Times New Roman" w:cs="Times New Roman"/>
          <w:sz w:val="20"/>
          <w:szCs w:val="20"/>
          <w:lang w:val="en-IE"/>
        </w:rPr>
        <w:t xml:space="preserve">body mass index (BMI) </w:t>
      </w:r>
      <w:r>
        <w:rPr>
          <w:rFonts w:ascii="Times New Roman" w:eastAsia="Calibri" w:hAnsi="Times New Roman" w:cs="Times New Roman"/>
          <w:sz w:val="20"/>
          <w:szCs w:val="20"/>
          <w:lang w:val="en-IE"/>
        </w:rPr>
        <w:t>baselines categories</w:t>
      </w:r>
    </w:p>
    <w:p w:rsidR="00A91C74" w:rsidRDefault="00A91C74" w:rsidP="00A91C74">
      <w:pPr>
        <w:spacing w:after="0"/>
        <w:ind w:left="-567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</w:p>
    <w:tbl>
      <w:tblPr>
        <w:tblStyle w:val="Tablaconcuadrcula3"/>
        <w:tblpPr w:leftFromText="141" w:rightFromText="141" w:vertAnchor="text" w:horzAnchor="margin" w:tblpXSpec="center" w:tblpY="-79"/>
        <w:tblW w:w="15304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126"/>
        <w:gridCol w:w="1126"/>
        <w:gridCol w:w="921"/>
        <w:gridCol w:w="1126"/>
        <w:gridCol w:w="1126"/>
        <w:gridCol w:w="900"/>
        <w:gridCol w:w="1126"/>
        <w:gridCol w:w="1126"/>
        <w:gridCol w:w="923"/>
        <w:gridCol w:w="1131"/>
        <w:gridCol w:w="1126"/>
        <w:gridCol w:w="1126"/>
        <w:gridCol w:w="1041"/>
      </w:tblGrid>
      <w:tr w:rsidR="00A91C74" w:rsidRPr="00701FF3" w:rsidTr="00A91C74">
        <w:tc>
          <w:tcPr>
            <w:tcW w:w="1380" w:type="dxa"/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173" w:type="dxa"/>
            <w:gridSpan w:val="3"/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HVA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152" w:type="dxa"/>
            <w:gridSpan w:val="3"/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IMA</w:t>
            </w:r>
          </w:p>
        </w:tc>
        <w:tc>
          <w:tcPr>
            <w:tcW w:w="3175" w:type="dxa"/>
            <w:gridSpan w:val="3"/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Age</w:t>
            </w:r>
          </w:p>
        </w:tc>
        <w:tc>
          <w:tcPr>
            <w:tcW w:w="4424" w:type="dxa"/>
            <w:gridSpan w:val="4"/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BMI</w:t>
            </w:r>
          </w:p>
        </w:tc>
      </w:tr>
      <w:tr w:rsidR="00A91C74" w:rsidRPr="00701FF3" w:rsidTr="00A91C74">
        <w:trPr>
          <w:trHeight w:val="306"/>
        </w:trPr>
        <w:tc>
          <w:tcPr>
            <w:tcW w:w="1380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HVA˂30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(27)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HVA≥30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(45)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p-value*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IMA˂13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(45)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IMA≥13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(27)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p-value*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˂60 y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(37)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≥60 y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(35)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p-value*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NW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(21)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OW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(32)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OB</w:t>
            </w:r>
          </w:p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n (19)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p-value**</w:t>
            </w:r>
          </w:p>
        </w:tc>
      </w:tr>
      <w:tr w:rsidR="00A91C74" w:rsidRPr="00701FF3" w:rsidTr="00A91C74">
        <w:tc>
          <w:tcPr>
            <w:tcW w:w="2506" w:type="dxa"/>
            <w:gridSpan w:val="2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IE"/>
              </w:rPr>
              <w:t>Clinical outcomes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IE"/>
              </w:rPr>
              <w:t xml:space="preserve">VAS </w:t>
            </w: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IE"/>
              </w:rPr>
              <w:t>b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1.11±1.05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1.36±0.90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0.301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1.13±1.03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1.48±0.80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0.139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1.38±0.98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1.14±0.94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1.38±1.02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1.37±0.97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0.95±0.84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0.252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IE"/>
              </w:rPr>
              <w:t xml:space="preserve">AOFAS </w:t>
            </w: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83.92±5.62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82.95±6.61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0.527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83.68±6.38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82.70±6.05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0.520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83.48±6.58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83.14±5.94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0.817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83.52±6.51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82.31±6.00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84.78±6.32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0.390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Pain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34.07±5.07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32.67±4.47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0.221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34.00±4.95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31.85±3.95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0.062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32.97±4.63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33.43±4.81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0.684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32.86±4.62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32.81±4.56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34.21±5.07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0.553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Function 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37.70±2.09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38.09±3.13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0.573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37.49±2.67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38.70±2.83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0.072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38.16±3.32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37.71±2.08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0.499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38.00±2.47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37.56±2.74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38.53±3.18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0.493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Alignment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12.15±3.50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12.20±3.46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0.951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12.20±3.46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12.15±3.50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0.951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12.35±3.44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12.00±3.51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0.670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12.67±3.38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11.94±3.52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12.05±3.55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0.746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IE"/>
              </w:rPr>
              <w:t xml:space="preserve">MOXFQ </w:t>
            </w: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IE"/>
              </w:rPr>
              <w:t>b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Total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12.03±4.62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12.55±5.03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12.27±4.67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12.49±5.23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0.856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12.14±5.11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12.58±4.64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0.703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12.64±5.74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12.72±4.24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11.42±4.91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0.626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Pain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10.00±7.07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11.22±6.67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0.464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10.11±7.42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11.85±5.57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0.296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11.22±7.01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10.29±6.63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0.565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11.19±7.40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11.72±6.79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8.68±5.97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0.292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Walking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15.17±7.12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14.96±7.67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15.43±7.19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14.38±7.89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0.564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14.24±8.12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15.87±6.62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0.355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14.92±7.72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15.47±7.52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14.43±7.28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0.890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Social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9.02±5.00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10.69±5.59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0.208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10.00±5.39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10.18±5.52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0.889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10.13±4.96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10.00±5.90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0.916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10.71±6.88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9.76±4.18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9.86±5.63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0.812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IE"/>
              </w:rPr>
              <w:t xml:space="preserve">SF-12 </w:t>
            </w: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PCS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47.04±4.89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47.06±4.83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0.985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48.52±4.64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44.61±4.13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  <w:t>0.001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47.01±5.11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47.10±4.57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0.938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47.86±5.00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46.76±5.05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46.66±4.33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0.667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 xml:space="preserve">  MCS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46.62±4.60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46.41±3.92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0.832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46.07±4.52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47.18±3.43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0.279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46.37±4.62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46.61±3.67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0.814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46.54±5.06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46.38±3.88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46.61±3.71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0.979</w:t>
            </w: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IE"/>
              </w:rPr>
              <w:t xml:space="preserve">EQ-5D </w:t>
            </w:r>
            <w:r w:rsidRPr="00701FF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IE"/>
              </w:rPr>
              <w:t>a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</w:p>
        </w:tc>
      </w:tr>
      <w:tr w:rsidR="00A91C74" w:rsidRPr="00701FF3" w:rsidTr="00A91C74">
        <w:tc>
          <w:tcPr>
            <w:tcW w:w="1380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Total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0.91±0.08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0.89±0.10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0.265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0.90±0.10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0.90±0.09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0.950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0.90±0.09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0.90±0.10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0.903</w:t>
            </w:r>
          </w:p>
        </w:tc>
        <w:tc>
          <w:tcPr>
            <w:tcW w:w="113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0.90±0.10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0.90±0.09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0.89±0.10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</w:tcPr>
          <w:p w:rsidR="00A91C74" w:rsidRPr="00701FF3" w:rsidRDefault="00A91C74" w:rsidP="00A91C74">
            <w:pPr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</w:pPr>
            <w:r w:rsidRPr="00701FF3">
              <w:rPr>
                <w:rFonts w:ascii="Times New Roman" w:eastAsia="Calibri" w:hAnsi="Times New Roman" w:cs="Times New Roman"/>
                <w:sz w:val="20"/>
                <w:szCs w:val="20"/>
                <w:lang w:val="en-IE"/>
              </w:rPr>
              <w:t>0.903</w:t>
            </w:r>
          </w:p>
        </w:tc>
      </w:tr>
    </w:tbl>
    <w:p w:rsidR="00A91C74" w:rsidRPr="00EF2E15" w:rsidRDefault="00A91C74" w:rsidP="00A91C74">
      <w:pPr>
        <w:spacing w:after="0"/>
        <w:ind w:left="-567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  <w:bookmarkStart w:id="0" w:name="_GoBack"/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Results are shown as mean and (±) Standard deviation. Bold values indicate statistical significance p ≤ 0.05. </w:t>
      </w:r>
    </w:p>
    <w:p w:rsidR="00A91C74" w:rsidRPr="00EF2E15" w:rsidRDefault="00A91C74" w:rsidP="00A91C74">
      <w:pPr>
        <w:spacing w:after="0"/>
        <w:ind w:left="-567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Abbreviations: VAS,</w:t>
      </w:r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>visual analogue scale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; AOFAS,</w:t>
      </w:r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American </w:t>
      </w:r>
      <w:proofErr w:type="spellStart"/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>Orthopaedic</w:t>
      </w:r>
      <w:proofErr w:type="spellEnd"/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Foot and Ankle Society; MOXFQ, Manchester-Oxford Foot Questionnaire; SF-12,Short Form-12 Health Survey; PCS, Physical Component Score; MCS, Mental Component, Score; EQ-5D, EuroQol-5D; HVA, hallux valgus angle; 1-2 IMA, 1-2 </w:t>
      </w:r>
      <w:proofErr w:type="spellStart"/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>intermetatarsal</w:t>
      </w:r>
      <w:proofErr w:type="spellEnd"/>
      <w:r w:rsidRPr="00EF2E1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angle; BMI,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body mass index; NW, Normal weight; OW, Overweight; OB, Obesity </w:t>
      </w:r>
    </w:p>
    <w:p w:rsidR="00A91C74" w:rsidRPr="00EF2E15" w:rsidRDefault="00A91C74" w:rsidP="00A91C74">
      <w:pPr>
        <w:spacing w:after="0"/>
        <w:ind w:left="-567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  <w:proofErr w:type="spellStart"/>
      <w:proofErr w:type="gramStart"/>
      <w:r w:rsidRPr="00EF2E15">
        <w:rPr>
          <w:rFonts w:ascii="Times New Roman" w:eastAsia="Calibri" w:hAnsi="Times New Roman" w:cs="Times New Roman"/>
          <w:sz w:val="16"/>
          <w:szCs w:val="16"/>
          <w:vertAlign w:val="superscript"/>
          <w:lang w:val="en-IE"/>
        </w:rPr>
        <w:t>a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Higher</w:t>
      </w:r>
      <w:proofErr w:type="spellEnd"/>
      <w:proofErr w:type="gramEnd"/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scores indicate a better health-related quality of life.</w:t>
      </w:r>
      <w:r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</w:t>
      </w:r>
      <w:proofErr w:type="spellStart"/>
      <w:proofErr w:type="gramStart"/>
      <w:r w:rsidRPr="00EF2E15">
        <w:rPr>
          <w:rFonts w:ascii="Times New Roman" w:eastAsia="Calibri" w:hAnsi="Times New Roman" w:cs="Times New Roman"/>
          <w:sz w:val="16"/>
          <w:szCs w:val="16"/>
          <w:vertAlign w:val="superscript"/>
          <w:lang w:val="en-IE"/>
        </w:rPr>
        <w:t>b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Lower</w:t>
      </w:r>
      <w:proofErr w:type="spellEnd"/>
      <w:proofErr w:type="gramEnd"/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scores indicate a better health-related quality of life.</w:t>
      </w:r>
      <w:r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*Student t-test</w:t>
      </w:r>
      <w:r>
        <w:rPr>
          <w:rFonts w:ascii="Times New Roman" w:eastAsia="Calibri" w:hAnsi="Times New Roman" w:cs="Times New Roman"/>
          <w:sz w:val="16"/>
          <w:szCs w:val="16"/>
          <w:lang w:val="en-IE"/>
        </w:rPr>
        <w:t xml:space="preserve"> </w:t>
      </w:r>
      <w:r w:rsidRPr="00EF2E15">
        <w:rPr>
          <w:rFonts w:ascii="Times New Roman" w:eastAsia="Calibri" w:hAnsi="Times New Roman" w:cs="Times New Roman"/>
          <w:sz w:val="16"/>
          <w:szCs w:val="16"/>
          <w:lang w:val="en-IE"/>
        </w:rPr>
        <w:t>**Analysis of variance test (ANOVA)</w:t>
      </w:r>
    </w:p>
    <w:bookmarkEnd w:id="0"/>
    <w:p w:rsidR="00A91C74" w:rsidRDefault="00A91C74" w:rsidP="00A91C74">
      <w:pPr>
        <w:rPr>
          <w:lang w:val="en-US"/>
        </w:rPr>
      </w:pPr>
    </w:p>
    <w:p w:rsidR="00A91C74" w:rsidRDefault="00A91C74" w:rsidP="00A91C74">
      <w:pPr>
        <w:spacing w:after="0"/>
        <w:ind w:left="-567"/>
        <w:jc w:val="both"/>
        <w:rPr>
          <w:rFonts w:ascii="Times New Roman" w:eastAsia="Calibri" w:hAnsi="Times New Roman" w:cs="Times New Roman"/>
          <w:sz w:val="16"/>
          <w:szCs w:val="16"/>
          <w:lang w:val="en-IE"/>
        </w:rPr>
      </w:pPr>
    </w:p>
    <w:p w:rsidR="00A91C74" w:rsidRPr="00A91C74" w:rsidRDefault="00A91C74">
      <w:pPr>
        <w:rPr>
          <w:lang w:val="en-US"/>
        </w:rPr>
      </w:pPr>
    </w:p>
    <w:sectPr w:rsidR="00A91C74" w:rsidRPr="00A91C74" w:rsidSect="00A91C74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74"/>
    <w:rsid w:val="00A91C74"/>
    <w:rsid w:val="00F646F8"/>
    <w:rsid w:val="00FD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B9E52-C429-4A60-A75F-52D54CD1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2">
    <w:name w:val="Tabla con cuadrícula2"/>
    <w:basedOn w:val="Tablanormal"/>
    <w:next w:val="Tablaconcuadrcula"/>
    <w:uiPriority w:val="39"/>
    <w:rsid w:val="00A9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9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A9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Luisen</dc:creator>
  <cp:keywords/>
  <dc:description/>
  <cp:lastModifiedBy>Luisen</cp:lastModifiedBy>
  <cp:revision>2</cp:revision>
  <dcterms:created xsi:type="dcterms:W3CDTF">2020-09-28T17:25:00Z</dcterms:created>
  <dcterms:modified xsi:type="dcterms:W3CDTF">2020-09-28T17:36:00Z</dcterms:modified>
</cp:coreProperties>
</file>