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644" w:rsidRPr="00623644" w:rsidRDefault="00623644" w:rsidP="00623644">
      <w:pPr>
        <w:rPr>
          <w:rFonts w:ascii="Times New Roman" w:hAnsi="Times New Roman" w:cs="Times New Roman"/>
          <w:b/>
          <w:bCs/>
          <w:sz w:val="24"/>
          <w:szCs w:val="24"/>
          <w:lang w:val="en-GB"/>
        </w:rPr>
      </w:pPr>
      <w:bookmarkStart w:id="0" w:name="_GoBack"/>
      <w:bookmarkEnd w:id="0"/>
      <w:r w:rsidRPr="00623644">
        <w:rPr>
          <w:rFonts w:ascii="Times New Roman" w:hAnsi="Times New Roman" w:cs="Times New Roman"/>
          <w:b/>
          <w:bCs/>
          <w:sz w:val="24"/>
          <w:szCs w:val="24"/>
          <w:lang w:val="en-GB"/>
        </w:rPr>
        <w:t>Table S1 Physical properties of porous carriers.</w:t>
      </w:r>
    </w:p>
    <w:tbl>
      <w:tblPr>
        <w:tblW w:w="5000" w:type="pct"/>
        <w:tblCellMar>
          <w:left w:w="28" w:type="dxa"/>
          <w:right w:w="28" w:type="dxa"/>
        </w:tblCellMar>
        <w:tblLook w:val="0600" w:firstRow="0" w:lastRow="0" w:firstColumn="0" w:lastColumn="0" w:noHBand="1" w:noVBand="1"/>
      </w:tblPr>
      <w:tblGrid>
        <w:gridCol w:w="2770"/>
        <w:gridCol w:w="1481"/>
        <w:gridCol w:w="1340"/>
        <w:gridCol w:w="1354"/>
        <w:gridCol w:w="1222"/>
        <w:gridCol w:w="1343"/>
        <w:gridCol w:w="1201"/>
        <w:gridCol w:w="1209"/>
        <w:gridCol w:w="1232"/>
      </w:tblGrid>
      <w:tr w:rsidR="00623644" w:rsidRPr="00623644" w:rsidTr="00E123CA">
        <w:tc>
          <w:tcPr>
            <w:tcW w:w="2770"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Materials</w:t>
            </w:r>
          </w:p>
        </w:tc>
        <w:tc>
          <w:tcPr>
            <w:tcW w:w="1481"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Dry weight (g)/100 mL</w:t>
            </w:r>
          </w:p>
        </w:tc>
        <w:tc>
          <w:tcPr>
            <w:tcW w:w="1340"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Specific gravity</w:t>
            </w:r>
          </w:p>
        </w:tc>
        <w:tc>
          <w:tcPr>
            <w:tcW w:w="1354"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Bulk density (g/mL)</w:t>
            </w:r>
          </w:p>
        </w:tc>
        <w:tc>
          <w:tcPr>
            <w:tcW w:w="1222"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Solid phase (%)</w:t>
            </w:r>
          </w:p>
        </w:tc>
        <w:tc>
          <w:tcPr>
            <w:tcW w:w="1343"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Liquid phase (%)</w:t>
            </w:r>
          </w:p>
        </w:tc>
        <w:tc>
          <w:tcPr>
            <w:tcW w:w="1201"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Gas phase (%)</w:t>
            </w:r>
          </w:p>
        </w:tc>
        <w:tc>
          <w:tcPr>
            <w:tcW w:w="1209"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 xml:space="preserve">Porosity </w:t>
            </w:r>
            <w:r w:rsidRPr="00623644">
              <w:rPr>
                <w:rFonts w:ascii="Times New Roman" w:hAnsi="Times New Roman" w:cs="Times New Roman"/>
                <w:sz w:val="24"/>
                <w:szCs w:val="24"/>
                <w:lang w:val="en-GB"/>
              </w:rPr>
              <w:br/>
              <w:t>(%)</w:t>
            </w:r>
          </w:p>
        </w:tc>
        <w:tc>
          <w:tcPr>
            <w:tcW w:w="1232" w:type="dxa"/>
            <w:tcBorders>
              <w:top w:val="single" w:sz="4" w:space="0" w:color="auto"/>
              <w:bottom w:val="single" w:sz="4" w:space="0" w:color="auto"/>
            </w:tcBorders>
            <w:shd w:val="clear" w:color="auto" w:fill="FFFFFF"/>
            <w:tcMar>
              <w:top w:w="6" w:type="dxa"/>
              <w:left w:w="6" w:type="dxa"/>
              <w:bottom w:w="0" w:type="dxa"/>
              <w:right w:w="6" w:type="dxa"/>
            </w:tcMar>
            <w:hideMark/>
          </w:tcPr>
          <w:p w:rsidR="00623644" w:rsidRPr="00623644" w:rsidRDefault="00623644" w:rsidP="00E123CA">
            <w:pPr>
              <w:jc w:val="center"/>
              <w:rPr>
                <w:rFonts w:ascii="Times New Roman" w:hAnsi="Times New Roman" w:cs="Times New Roman"/>
                <w:sz w:val="24"/>
                <w:szCs w:val="24"/>
                <w:lang w:val="en-GB"/>
              </w:rPr>
            </w:pPr>
            <w:r w:rsidRPr="00623644">
              <w:rPr>
                <w:rFonts w:ascii="Times New Roman" w:hAnsi="Times New Roman" w:cs="Times New Roman"/>
                <w:sz w:val="24"/>
                <w:szCs w:val="24"/>
                <w:lang w:val="en-GB"/>
              </w:rPr>
              <w:t xml:space="preserve">WFPS </w:t>
            </w:r>
            <w:r w:rsidRPr="00623644">
              <w:rPr>
                <w:rFonts w:ascii="Times New Roman" w:hAnsi="Times New Roman" w:cs="Times New Roman"/>
                <w:sz w:val="24"/>
                <w:szCs w:val="24"/>
                <w:lang w:val="en-GB"/>
              </w:rPr>
              <w:br/>
              <w:t>(%)</w:t>
            </w:r>
          </w:p>
        </w:tc>
      </w:tr>
      <w:tr w:rsidR="00623644" w:rsidRPr="00623644" w:rsidTr="00E123CA">
        <w:tc>
          <w:tcPr>
            <w:tcW w:w="2770"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Oyster shell lime (2–4 mm)</w:t>
            </w:r>
          </w:p>
        </w:tc>
        <w:tc>
          <w:tcPr>
            <w:tcW w:w="1481"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69.38</w:t>
            </w:r>
          </w:p>
        </w:tc>
        <w:tc>
          <w:tcPr>
            <w:tcW w:w="1340"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1.82</w:t>
            </w:r>
          </w:p>
        </w:tc>
        <w:tc>
          <w:tcPr>
            <w:tcW w:w="1354"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0.6938</w:t>
            </w:r>
          </w:p>
        </w:tc>
        <w:tc>
          <w:tcPr>
            <w:tcW w:w="1222"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38.1</w:t>
            </w:r>
          </w:p>
        </w:tc>
        <w:tc>
          <w:tcPr>
            <w:tcW w:w="1343"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27.5</w:t>
            </w:r>
          </w:p>
        </w:tc>
        <w:tc>
          <w:tcPr>
            <w:tcW w:w="1201"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34.4</w:t>
            </w:r>
          </w:p>
        </w:tc>
        <w:tc>
          <w:tcPr>
            <w:tcW w:w="1209"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61.9</w:t>
            </w:r>
          </w:p>
        </w:tc>
        <w:tc>
          <w:tcPr>
            <w:tcW w:w="1232" w:type="dxa"/>
            <w:tcBorders>
              <w:top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44.4</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Rice husk charcoal</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11.02</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0.63</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0.1102</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19.4</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63.3</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17.3</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80.6</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78.5</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Rockwool (granular)</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21.97</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1.29</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0.2197</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22.8</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71.6</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5.6</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77.2</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48.0</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Coconut husk</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44.97</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1.46</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0.4497</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30.9</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32.6</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36.6</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69.2</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47.1</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Vermiculite</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14.76</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0.54</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0.1476</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28.9</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50.5</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20.6</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71.1</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71.1</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AQ-20</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2.27</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0.18</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0.0227</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12.3</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15.2</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72.5</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87.7</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17.4</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AQ-15</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1.85</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0.19</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0.0185</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9.9</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31.6</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58.5</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90.1</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35.1</w:t>
            </w:r>
          </w:p>
        </w:tc>
      </w:tr>
      <w:tr w:rsidR="00623644" w:rsidRPr="00623644" w:rsidTr="00E123CA">
        <w:tc>
          <w:tcPr>
            <w:tcW w:w="2770" w:type="dxa"/>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AQ-14</w:t>
            </w:r>
          </w:p>
        </w:tc>
        <w:tc>
          <w:tcPr>
            <w:tcW w:w="1481"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2.13</w:t>
            </w:r>
          </w:p>
        </w:tc>
        <w:tc>
          <w:tcPr>
            <w:tcW w:w="1340"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0.17</w:t>
            </w:r>
          </w:p>
        </w:tc>
        <w:tc>
          <w:tcPr>
            <w:tcW w:w="1354" w:type="dxa"/>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0.0213</w:t>
            </w:r>
          </w:p>
        </w:tc>
        <w:tc>
          <w:tcPr>
            <w:tcW w:w="1222"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12.7</w:t>
            </w:r>
          </w:p>
        </w:tc>
        <w:tc>
          <w:tcPr>
            <w:tcW w:w="1343" w:type="dxa"/>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32.2</w:t>
            </w:r>
          </w:p>
        </w:tc>
        <w:tc>
          <w:tcPr>
            <w:tcW w:w="1201"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55.1</w:t>
            </w:r>
          </w:p>
        </w:tc>
        <w:tc>
          <w:tcPr>
            <w:tcW w:w="1209"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87.3</w:t>
            </w:r>
          </w:p>
        </w:tc>
        <w:tc>
          <w:tcPr>
            <w:tcW w:w="1232" w:type="dxa"/>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36.9</w:t>
            </w:r>
          </w:p>
        </w:tc>
      </w:tr>
      <w:tr w:rsidR="00623644" w:rsidRPr="00623644" w:rsidTr="00E123CA">
        <w:tc>
          <w:tcPr>
            <w:tcW w:w="2770"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rPr>
                <w:rFonts w:ascii="Times New Roman" w:hAnsi="Times New Roman" w:cs="Times New Roman"/>
                <w:sz w:val="24"/>
                <w:szCs w:val="24"/>
                <w:lang w:val="en-GB"/>
              </w:rPr>
            </w:pPr>
            <w:r w:rsidRPr="00623644">
              <w:rPr>
                <w:rFonts w:ascii="Times New Roman" w:hAnsi="Times New Roman" w:cs="Times New Roman"/>
                <w:sz w:val="24"/>
                <w:szCs w:val="24"/>
                <w:lang w:val="en-GB"/>
              </w:rPr>
              <w:t>Pumice</w:t>
            </w:r>
          </w:p>
        </w:tc>
        <w:tc>
          <w:tcPr>
            <w:tcW w:w="1481"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40.87</w:t>
            </w:r>
          </w:p>
        </w:tc>
        <w:tc>
          <w:tcPr>
            <w:tcW w:w="1340"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1.01</w:t>
            </w:r>
          </w:p>
        </w:tc>
        <w:tc>
          <w:tcPr>
            <w:tcW w:w="1354"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420"/>
              </w:tabs>
              <w:rPr>
                <w:rFonts w:ascii="Times New Roman" w:hAnsi="Times New Roman" w:cs="Times New Roman"/>
                <w:sz w:val="24"/>
                <w:szCs w:val="24"/>
                <w:lang w:val="en-GB"/>
              </w:rPr>
            </w:pPr>
            <w:r w:rsidRPr="00623644">
              <w:rPr>
                <w:rFonts w:ascii="Times New Roman" w:hAnsi="Times New Roman" w:cs="Times New Roman"/>
                <w:sz w:val="24"/>
                <w:szCs w:val="24"/>
                <w:lang w:val="en-GB"/>
              </w:rPr>
              <w:t>0.4087</w:t>
            </w:r>
          </w:p>
        </w:tc>
        <w:tc>
          <w:tcPr>
            <w:tcW w:w="1222"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40.4</w:t>
            </w:r>
          </w:p>
        </w:tc>
        <w:tc>
          <w:tcPr>
            <w:tcW w:w="1343"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704"/>
              </w:tabs>
              <w:rPr>
                <w:rFonts w:ascii="Times New Roman" w:hAnsi="Times New Roman" w:cs="Times New Roman"/>
                <w:sz w:val="24"/>
                <w:szCs w:val="24"/>
                <w:lang w:val="en-GB"/>
              </w:rPr>
            </w:pPr>
            <w:r w:rsidRPr="00623644">
              <w:rPr>
                <w:rFonts w:ascii="Times New Roman" w:hAnsi="Times New Roman" w:cs="Times New Roman"/>
                <w:sz w:val="24"/>
                <w:szCs w:val="24"/>
                <w:lang w:val="en-GB"/>
              </w:rPr>
              <w:t>23.8</w:t>
            </w:r>
          </w:p>
        </w:tc>
        <w:tc>
          <w:tcPr>
            <w:tcW w:w="1201"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35.7</w:t>
            </w:r>
          </w:p>
        </w:tc>
        <w:tc>
          <w:tcPr>
            <w:tcW w:w="1209"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59.6</w:t>
            </w:r>
          </w:p>
        </w:tc>
        <w:tc>
          <w:tcPr>
            <w:tcW w:w="1232" w:type="dxa"/>
            <w:tcBorders>
              <w:bottom w:val="single" w:sz="4" w:space="0" w:color="auto"/>
            </w:tcBorders>
            <w:shd w:val="clear" w:color="auto" w:fill="FFFFFF"/>
            <w:tcMar>
              <w:top w:w="6" w:type="dxa"/>
              <w:left w:w="6" w:type="dxa"/>
              <w:bottom w:w="0" w:type="dxa"/>
              <w:right w:w="6" w:type="dxa"/>
            </w:tcMar>
            <w:hideMark/>
          </w:tcPr>
          <w:p w:rsidR="00623644" w:rsidRPr="00623644" w:rsidRDefault="00623644" w:rsidP="00E123CA">
            <w:pPr>
              <w:tabs>
                <w:tab w:val="decimal" w:pos="562"/>
              </w:tabs>
              <w:rPr>
                <w:rFonts w:ascii="Times New Roman" w:hAnsi="Times New Roman" w:cs="Times New Roman"/>
                <w:sz w:val="24"/>
                <w:szCs w:val="24"/>
                <w:lang w:val="en-GB"/>
              </w:rPr>
            </w:pPr>
            <w:r w:rsidRPr="00623644">
              <w:rPr>
                <w:rFonts w:ascii="Times New Roman" w:hAnsi="Times New Roman" w:cs="Times New Roman"/>
                <w:sz w:val="24"/>
                <w:szCs w:val="24"/>
                <w:lang w:val="en-GB"/>
              </w:rPr>
              <w:t>40.0</w:t>
            </w:r>
          </w:p>
        </w:tc>
      </w:tr>
    </w:tbl>
    <w:p w:rsidR="00623644" w:rsidRPr="00623644" w:rsidRDefault="00623644" w:rsidP="00623644">
      <w:pPr>
        <w:rPr>
          <w:rFonts w:ascii="Times New Roman" w:hAnsi="Times New Roman" w:cs="Times New Roman"/>
          <w:b/>
          <w:bCs/>
          <w:sz w:val="24"/>
          <w:szCs w:val="24"/>
          <w:lang w:val="en-GB"/>
        </w:rPr>
      </w:pPr>
    </w:p>
    <w:p w:rsidR="00623644" w:rsidRPr="00623644" w:rsidRDefault="00623644" w:rsidP="00623644">
      <w:pPr>
        <w:rPr>
          <w:rFonts w:ascii="Times New Roman" w:hAnsi="Times New Roman" w:cs="Times New Roman"/>
          <w:sz w:val="24"/>
          <w:szCs w:val="24"/>
          <w:lang w:val="en-GB"/>
        </w:rPr>
      </w:pPr>
      <w:r w:rsidRPr="00623644">
        <w:rPr>
          <w:rFonts w:ascii="Times New Roman" w:hAnsi="Times New Roman" w:cs="Times New Roman"/>
          <w:sz w:val="24"/>
          <w:szCs w:val="24"/>
          <w:lang w:val="en-GB"/>
        </w:rPr>
        <w:t>Physical properties were measured as follows. First, 100 mL (bulk volume, V) of each material was prepared and weighed (W). The material was transferred to a 500-mL graduated cylinder, which was filled to 100 mL with water. The amount of water added (W</w:t>
      </w:r>
      <w:r w:rsidRPr="00623644">
        <w:rPr>
          <w:rFonts w:ascii="Times New Roman" w:hAnsi="Times New Roman" w:cs="Times New Roman"/>
          <w:sz w:val="24"/>
          <w:szCs w:val="24"/>
          <w:vertAlign w:val="subscript"/>
          <w:lang w:val="en-GB"/>
        </w:rPr>
        <w:t>W</w:t>
      </w:r>
      <w:r w:rsidRPr="00623644">
        <w:rPr>
          <w:rFonts w:ascii="Times New Roman" w:hAnsi="Times New Roman" w:cs="Times New Roman"/>
          <w:sz w:val="24"/>
          <w:szCs w:val="24"/>
          <w:lang w:val="en-GB"/>
        </w:rPr>
        <w:t>) was measured. The water was decanted, and the total amount discharged (</w:t>
      </w:r>
      <w:proofErr w:type="spellStart"/>
      <w:r w:rsidRPr="00623644">
        <w:rPr>
          <w:rFonts w:ascii="Times New Roman" w:hAnsi="Times New Roman" w:cs="Times New Roman"/>
          <w:sz w:val="24"/>
          <w:szCs w:val="24"/>
          <w:lang w:val="en-GB"/>
        </w:rPr>
        <w:t>W</w:t>
      </w:r>
      <w:r w:rsidRPr="00623644">
        <w:rPr>
          <w:rFonts w:ascii="Times New Roman" w:hAnsi="Times New Roman" w:cs="Times New Roman"/>
          <w:sz w:val="24"/>
          <w:szCs w:val="24"/>
          <w:vertAlign w:val="subscript"/>
          <w:lang w:val="en-GB"/>
        </w:rPr>
        <w:t>f</w:t>
      </w:r>
      <w:proofErr w:type="spellEnd"/>
      <w:r w:rsidRPr="00623644">
        <w:rPr>
          <w:rFonts w:ascii="Times New Roman" w:hAnsi="Times New Roman" w:cs="Times New Roman"/>
          <w:sz w:val="24"/>
          <w:szCs w:val="24"/>
          <w:lang w:val="en-GB"/>
        </w:rPr>
        <w:t>) was measured. The dry weight (</w:t>
      </w:r>
      <w:proofErr w:type="spellStart"/>
      <w:r w:rsidRPr="00623644">
        <w:rPr>
          <w:rFonts w:ascii="Times New Roman" w:hAnsi="Times New Roman" w:cs="Times New Roman"/>
          <w:sz w:val="24"/>
          <w:szCs w:val="24"/>
          <w:lang w:val="en-GB"/>
        </w:rPr>
        <w:t>W</w:t>
      </w:r>
      <w:r w:rsidRPr="00623644">
        <w:rPr>
          <w:rFonts w:ascii="Times New Roman" w:hAnsi="Times New Roman" w:cs="Times New Roman"/>
          <w:sz w:val="24"/>
          <w:szCs w:val="24"/>
          <w:vertAlign w:val="subscript"/>
          <w:lang w:val="en-GB"/>
        </w:rPr>
        <w:t>d</w:t>
      </w:r>
      <w:proofErr w:type="spellEnd"/>
      <w:r w:rsidRPr="00623644">
        <w:rPr>
          <w:rFonts w:ascii="Times New Roman" w:hAnsi="Times New Roman" w:cs="Times New Roman"/>
          <w:sz w:val="24"/>
          <w:szCs w:val="24"/>
          <w:lang w:val="en-GB"/>
        </w:rPr>
        <w:t>) of 100 mL of each material was measured after drying at 100 °C for 24 h. From the results, we calculated the specific gravity of each material, the bulk density, the solid phase ratio, the liquid phase ratio after decantation, the gas phase ratio after decantation, porosity, and the water-filled pore space (WFPS) as follows:</w:t>
      </w:r>
    </w:p>
    <w:p w:rsidR="00623644" w:rsidRPr="00623644" w:rsidRDefault="00623644" w:rsidP="00623644">
      <w:pPr>
        <w:pStyle w:val="Footnote"/>
        <w:spacing w:line="240" w:lineRule="auto"/>
        <w:rPr>
          <w:sz w:val="24"/>
          <w:lang w:val="en-GB"/>
        </w:rPr>
      </w:pPr>
      <w:r w:rsidRPr="00623644">
        <w:rPr>
          <w:sz w:val="24"/>
          <w:lang w:val="en-GB"/>
        </w:rPr>
        <w:t>Solid phase (%) = {100 − W</w:t>
      </w:r>
      <w:r w:rsidRPr="00623644">
        <w:rPr>
          <w:sz w:val="24"/>
          <w:vertAlign w:val="subscript"/>
          <w:lang w:val="en-GB"/>
        </w:rPr>
        <w:t>W</w:t>
      </w:r>
      <w:r w:rsidRPr="00623644">
        <w:rPr>
          <w:sz w:val="24"/>
          <w:lang w:val="en-GB"/>
        </w:rPr>
        <w:t xml:space="preserve"> − (W − </w:t>
      </w:r>
      <w:proofErr w:type="spellStart"/>
      <w:r w:rsidRPr="00623644">
        <w:rPr>
          <w:sz w:val="24"/>
          <w:lang w:val="en-GB"/>
        </w:rPr>
        <w:t>W</w:t>
      </w:r>
      <w:r w:rsidRPr="00623644">
        <w:rPr>
          <w:sz w:val="24"/>
          <w:vertAlign w:val="subscript"/>
          <w:lang w:val="en-GB"/>
        </w:rPr>
        <w:t>d</w:t>
      </w:r>
      <w:proofErr w:type="spellEnd"/>
      <w:r w:rsidRPr="00623644">
        <w:rPr>
          <w:sz w:val="24"/>
          <w:lang w:val="en-GB"/>
        </w:rPr>
        <w:t>)}/V × 100</w:t>
      </w:r>
    </w:p>
    <w:p w:rsidR="00623644" w:rsidRPr="00623644" w:rsidRDefault="00623644" w:rsidP="00623644">
      <w:pPr>
        <w:pStyle w:val="Footnote"/>
        <w:spacing w:line="240" w:lineRule="auto"/>
        <w:rPr>
          <w:sz w:val="24"/>
          <w:lang w:val="en-GB"/>
        </w:rPr>
      </w:pPr>
      <w:r w:rsidRPr="00623644">
        <w:rPr>
          <w:sz w:val="24"/>
          <w:lang w:val="en-GB"/>
        </w:rPr>
        <w:t xml:space="preserve">Liquid phase (%) = {W + (W − </w:t>
      </w:r>
      <w:proofErr w:type="spellStart"/>
      <w:r w:rsidRPr="00623644">
        <w:rPr>
          <w:sz w:val="24"/>
          <w:lang w:val="en-GB"/>
        </w:rPr>
        <w:t>W</w:t>
      </w:r>
      <w:r w:rsidRPr="00623644">
        <w:rPr>
          <w:sz w:val="24"/>
          <w:vertAlign w:val="subscript"/>
          <w:lang w:val="en-GB"/>
        </w:rPr>
        <w:t>d</w:t>
      </w:r>
      <w:proofErr w:type="spellEnd"/>
      <w:r w:rsidRPr="00623644">
        <w:rPr>
          <w:sz w:val="24"/>
          <w:lang w:val="en-GB"/>
        </w:rPr>
        <w:t xml:space="preserve">) − </w:t>
      </w:r>
      <w:proofErr w:type="spellStart"/>
      <w:r w:rsidRPr="00623644">
        <w:rPr>
          <w:sz w:val="24"/>
          <w:lang w:val="en-GB"/>
        </w:rPr>
        <w:t>W</w:t>
      </w:r>
      <w:r w:rsidRPr="00623644">
        <w:rPr>
          <w:sz w:val="24"/>
          <w:vertAlign w:val="subscript"/>
          <w:lang w:val="en-GB"/>
        </w:rPr>
        <w:t>f</w:t>
      </w:r>
      <w:proofErr w:type="spellEnd"/>
      <w:r w:rsidRPr="00623644">
        <w:rPr>
          <w:sz w:val="24"/>
          <w:lang w:val="en-GB"/>
        </w:rPr>
        <w:t>}/V × 100</w:t>
      </w:r>
    </w:p>
    <w:p w:rsidR="00623644" w:rsidRPr="00623644" w:rsidRDefault="00623644" w:rsidP="00623644">
      <w:pPr>
        <w:pStyle w:val="Footnote"/>
        <w:spacing w:line="240" w:lineRule="auto"/>
        <w:rPr>
          <w:sz w:val="24"/>
          <w:lang w:val="en-GB"/>
        </w:rPr>
      </w:pPr>
      <w:r w:rsidRPr="00623644">
        <w:rPr>
          <w:sz w:val="24"/>
          <w:lang w:val="en-GB"/>
        </w:rPr>
        <w:t>Gas phase (%) = 100 − (Solid phase) − (Liquid phase)</w:t>
      </w:r>
    </w:p>
    <w:p w:rsidR="00623644" w:rsidRPr="00623644" w:rsidRDefault="00623644" w:rsidP="00623644">
      <w:pPr>
        <w:pStyle w:val="Footnote"/>
        <w:spacing w:line="240" w:lineRule="auto"/>
        <w:rPr>
          <w:sz w:val="24"/>
          <w:lang w:val="en-GB"/>
        </w:rPr>
      </w:pPr>
      <w:r w:rsidRPr="00623644">
        <w:rPr>
          <w:sz w:val="24"/>
          <w:lang w:val="en-GB"/>
        </w:rPr>
        <w:lastRenderedPageBreak/>
        <w:t xml:space="preserve">Specific gravity = </w:t>
      </w:r>
      <w:proofErr w:type="spellStart"/>
      <w:r w:rsidRPr="00623644">
        <w:rPr>
          <w:sz w:val="24"/>
          <w:lang w:val="en-GB"/>
        </w:rPr>
        <w:t>W</w:t>
      </w:r>
      <w:r w:rsidRPr="00623644">
        <w:rPr>
          <w:sz w:val="24"/>
          <w:vertAlign w:val="subscript"/>
          <w:lang w:val="en-GB"/>
        </w:rPr>
        <w:t>d</w:t>
      </w:r>
      <w:proofErr w:type="spellEnd"/>
      <w:r w:rsidRPr="00623644">
        <w:rPr>
          <w:sz w:val="24"/>
          <w:lang w:val="en-GB"/>
        </w:rPr>
        <w:t>/100 − W</w:t>
      </w:r>
      <w:r w:rsidRPr="00623644">
        <w:rPr>
          <w:sz w:val="24"/>
          <w:vertAlign w:val="subscript"/>
          <w:lang w:val="en-GB"/>
        </w:rPr>
        <w:t>W</w:t>
      </w:r>
      <w:r w:rsidRPr="00623644">
        <w:rPr>
          <w:sz w:val="24"/>
          <w:lang w:val="en-GB"/>
        </w:rPr>
        <w:t xml:space="preserve"> − (W − </w:t>
      </w:r>
      <w:proofErr w:type="spellStart"/>
      <w:r w:rsidRPr="00623644">
        <w:rPr>
          <w:sz w:val="24"/>
          <w:lang w:val="en-GB"/>
        </w:rPr>
        <w:t>W</w:t>
      </w:r>
      <w:r w:rsidRPr="00623644">
        <w:rPr>
          <w:sz w:val="24"/>
          <w:vertAlign w:val="subscript"/>
          <w:lang w:val="en-GB"/>
        </w:rPr>
        <w:t>d</w:t>
      </w:r>
      <w:proofErr w:type="spellEnd"/>
      <w:r w:rsidRPr="00623644">
        <w:rPr>
          <w:sz w:val="24"/>
          <w:lang w:val="en-GB"/>
        </w:rPr>
        <w:t>)</w:t>
      </w:r>
    </w:p>
    <w:p w:rsidR="00623644" w:rsidRPr="00623644" w:rsidRDefault="00623644" w:rsidP="00623644">
      <w:pPr>
        <w:pStyle w:val="Footnote"/>
        <w:spacing w:line="240" w:lineRule="auto"/>
        <w:rPr>
          <w:sz w:val="24"/>
          <w:lang w:val="en-GB"/>
        </w:rPr>
      </w:pPr>
      <w:r w:rsidRPr="00623644">
        <w:rPr>
          <w:sz w:val="24"/>
          <w:lang w:val="en-GB"/>
        </w:rPr>
        <w:t xml:space="preserve">Bulk density (g/mL) = </w:t>
      </w:r>
      <w:proofErr w:type="spellStart"/>
      <w:r w:rsidRPr="00623644">
        <w:rPr>
          <w:sz w:val="24"/>
          <w:lang w:val="en-GB"/>
        </w:rPr>
        <w:t>W</w:t>
      </w:r>
      <w:r w:rsidRPr="00623644">
        <w:rPr>
          <w:sz w:val="24"/>
          <w:vertAlign w:val="subscript"/>
          <w:lang w:val="en-GB"/>
        </w:rPr>
        <w:t>d</w:t>
      </w:r>
      <w:proofErr w:type="spellEnd"/>
      <w:r w:rsidRPr="00623644">
        <w:rPr>
          <w:sz w:val="24"/>
          <w:lang w:val="en-GB"/>
        </w:rPr>
        <w:t>/100</w:t>
      </w:r>
    </w:p>
    <w:p w:rsidR="00623644" w:rsidRPr="00623644" w:rsidRDefault="00623644" w:rsidP="00623644">
      <w:pPr>
        <w:pStyle w:val="Footnote"/>
        <w:spacing w:line="240" w:lineRule="auto"/>
        <w:rPr>
          <w:sz w:val="24"/>
          <w:lang w:val="en-GB"/>
        </w:rPr>
      </w:pPr>
      <w:r w:rsidRPr="00623644">
        <w:rPr>
          <w:sz w:val="24"/>
          <w:lang w:val="en-GB"/>
        </w:rPr>
        <w:t>Porosity (%) = (Liquid phase + Gas phase)</w:t>
      </w:r>
    </w:p>
    <w:p w:rsidR="00623644" w:rsidRPr="00623644" w:rsidRDefault="00623644" w:rsidP="00623644">
      <w:pPr>
        <w:pStyle w:val="Footnote"/>
        <w:spacing w:line="240" w:lineRule="auto"/>
        <w:rPr>
          <w:sz w:val="24"/>
          <w:lang w:val="en-GB"/>
        </w:rPr>
      </w:pPr>
      <w:r w:rsidRPr="00623644">
        <w:rPr>
          <w:sz w:val="24"/>
          <w:lang w:val="en-GB"/>
        </w:rPr>
        <w:t>WFPS (%) = (Liquid phase) / (Porosity) × 100</w:t>
      </w:r>
    </w:p>
    <w:p w:rsidR="00394721" w:rsidRPr="00623644" w:rsidRDefault="00394721">
      <w:pPr>
        <w:rPr>
          <w:lang w:val="en-GB"/>
        </w:rPr>
      </w:pPr>
    </w:p>
    <w:sectPr w:rsidR="00394721" w:rsidRPr="00623644" w:rsidSect="00E97ABB">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062" w:rsidRDefault="00173062" w:rsidP="00623644">
      <w:r>
        <w:separator/>
      </w:r>
    </w:p>
  </w:endnote>
  <w:endnote w:type="continuationSeparator" w:id="0">
    <w:p w:rsidR="00173062" w:rsidRDefault="00173062" w:rsidP="0062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062" w:rsidRDefault="00173062" w:rsidP="00623644">
      <w:r>
        <w:separator/>
      </w:r>
    </w:p>
  </w:footnote>
  <w:footnote w:type="continuationSeparator" w:id="0">
    <w:p w:rsidR="00173062" w:rsidRDefault="00173062" w:rsidP="00623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BB"/>
    <w:rsid w:val="00173062"/>
    <w:rsid w:val="00394721"/>
    <w:rsid w:val="00623644"/>
    <w:rsid w:val="00E97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F15A08"/>
  <w15:chartTrackingRefBased/>
  <w15:docId w15:val="{305D99C7-A031-4897-B30F-5A367A6A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623644"/>
    <w:pPr>
      <w:tabs>
        <w:tab w:val="left" w:pos="425"/>
      </w:tabs>
      <w:spacing w:before="240" w:after="120" w:line="360" w:lineRule="auto"/>
      <w:jc w:val="left"/>
      <w:outlineLvl w:val="0"/>
    </w:pPr>
    <w:rPr>
      <w:rFonts w:ascii="Times New Roman" w:hAnsi="Times New Roman" w:cs="Times New Roman"/>
      <w:b/>
      <w:kern w:val="28"/>
      <w:sz w:val="28"/>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644"/>
    <w:pPr>
      <w:tabs>
        <w:tab w:val="center" w:pos="4252"/>
        <w:tab w:val="right" w:pos="8504"/>
      </w:tabs>
      <w:snapToGrid w:val="0"/>
    </w:pPr>
  </w:style>
  <w:style w:type="character" w:customStyle="1" w:styleId="a4">
    <w:name w:val="ヘッダー (文字)"/>
    <w:basedOn w:val="a0"/>
    <w:link w:val="a3"/>
    <w:uiPriority w:val="99"/>
    <w:rsid w:val="00623644"/>
  </w:style>
  <w:style w:type="paragraph" w:styleId="a5">
    <w:name w:val="footer"/>
    <w:basedOn w:val="a"/>
    <w:link w:val="a6"/>
    <w:uiPriority w:val="99"/>
    <w:unhideWhenUsed/>
    <w:rsid w:val="00623644"/>
    <w:pPr>
      <w:tabs>
        <w:tab w:val="center" w:pos="4252"/>
        <w:tab w:val="right" w:pos="8504"/>
      </w:tabs>
      <w:snapToGrid w:val="0"/>
    </w:pPr>
  </w:style>
  <w:style w:type="character" w:customStyle="1" w:styleId="a6">
    <w:name w:val="フッター (文字)"/>
    <w:basedOn w:val="a0"/>
    <w:link w:val="a5"/>
    <w:uiPriority w:val="99"/>
    <w:rsid w:val="00623644"/>
  </w:style>
  <w:style w:type="character" w:customStyle="1" w:styleId="10">
    <w:name w:val="見出し 1 (文字)"/>
    <w:basedOn w:val="a0"/>
    <w:link w:val="1"/>
    <w:rsid w:val="00623644"/>
    <w:rPr>
      <w:rFonts w:ascii="Times New Roman" w:hAnsi="Times New Roman" w:cs="Times New Roman"/>
      <w:b/>
      <w:kern w:val="28"/>
      <w:sz w:val="28"/>
      <w:szCs w:val="24"/>
      <w:lang w:eastAsia="en-US"/>
    </w:rPr>
  </w:style>
  <w:style w:type="paragraph" w:customStyle="1" w:styleId="Footnote">
    <w:name w:val="Footnote"/>
    <w:basedOn w:val="a"/>
    <w:rsid w:val="00623644"/>
    <w:pPr>
      <w:tabs>
        <w:tab w:val="left" w:pos="425"/>
      </w:tabs>
      <w:spacing w:after="60" w:line="360" w:lineRule="auto"/>
      <w:jc w:val="left"/>
    </w:pPr>
    <w:rPr>
      <w:rFonts w:ascii="Times New Roman" w:hAnsi="Times New Roman" w:cs="Times New Roman"/>
      <w:kern w:val="0"/>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A7ADA-AFCD-403F-B029-9E282FCC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NARO Meeboon Jamjan</dc:creator>
  <cp:keywords/>
  <dc:description/>
  <cp:lastModifiedBy>NARO Meeboon Jamjan</cp:lastModifiedBy>
  <cp:revision>2</cp:revision>
  <dcterms:created xsi:type="dcterms:W3CDTF">2020-12-25T04:52:00Z</dcterms:created>
  <dcterms:modified xsi:type="dcterms:W3CDTF">2020-12-25T05:14:00Z</dcterms:modified>
</cp:coreProperties>
</file>