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9"/>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524"/>
        <w:gridCol w:w="4688"/>
        <w:gridCol w:w="6674"/>
        <w:gridCol w:w="1072"/>
      </w:tblGrid>
      <w:tr w:rsidR="001A09BB" w:rsidRPr="006D71D7" w14:paraId="375F3CF6" w14:textId="77777777" w:rsidTr="00692FB4">
        <w:tc>
          <w:tcPr>
            <w:tcW w:w="0" w:type="auto"/>
            <w:vAlign w:val="center"/>
          </w:tcPr>
          <w:p w14:paraId="041B4924" w14:textId="5B0D26B5" w:rsidR="001A09BB" w:rsidRPr="005F1028" w:rsidRDefault="001A09BB" w:rsidP="00E15DCF">
            <w:pPr>
              <w:jc w:val="center"/>
              <w:rPr>
                <w:b/>
                <w:bCs/>
                <w:sz w:val="22"/>
              </w:rPr>
            </w:pPr>
            <w:r w:rsidRPr="005F1028">
              <w:rPr>
                <w:b/>
                <w:bCs/>
                <w:sz w:val="22"/>
              </w:rPr>
              <w:t>Categories</w:t>
            </w:r>
          </w:p>
        </w:tc>
        <w:tc>
          <w:tcPr>
            <w:tcW w:w="0" w:type="auto"/>
            <w:gridSpan w:val="2"/>
            <w:vAlign w:val="center"/>
          </w:tcPr>
          <w:p w14:paraId="25D1A293" w14:textId="06BA98AC" w:rsidR="001A09BB" w:rsidRPr="005F1028" w:rsidRDefault="001A09BB" w:rsidP="00E15DCF">
            <w:pPr>
              <w:jc w:val="center"/>
              <w:rPr>
                <w:b/>
                <w:bCs/>
                <w:sz w:val="22"/>
              </w:rPr>
            </w:pPr>
            <w:r w:rsidRPr="005F1028">
              <w:rPr>
                <w:b/>
                <w:bCs/>
                <w:sz w:val="22"/>
              </w:rPr>
              <w:t>Features</w:t>
            </w:r>
          </w:p>
        </w:tc>
        <w:tc>
          <w:tcPr>
            <w:tcW w:w="0" w:type="auto"/>
            <w:vAlign w:val="center"/>
          </w:tcPr>
          <w:p w14:paraId="7656B997" w14:textId="278B7ACD" w:rsidR="001A09BB" w:rsidRPr="005F1028" w:rsidRDefault="001A09BB" w:rsidP="00E15DCF">
            <w:pPr>
              <w:jc w:val="center"/>
              <w:rPr>
                <w:b/>
                <w:bCs/>
                <w:sz w:val="22"/>
              </w:rPr>
            </w:pPr>
            <w:r w:rsidRPr="005F1028">
              <w:rPr>
                <w:rFonts w:cs="Times New Roman"/>
                <w:b/>
                <w:bCs/>
                <w:sz w:val="22"/>
              </w:rPr>
              <w:t>Modality</w:t>
            </w:r>
          </w:p>
        </w:tc>
      </w:tr>
      <w:tr w:rsidR="00DD7604" w:rsidRPr="006D71D7" w14:paraId="731DA68D" w14:textId="77777777" w:rsidTr="006B740E">
        <w:trPr>
          <w:trHeight w:val="936"/>
        </w:trPr>
        <w:tc>
          <w:tcPr>
            <w:tcW w:w="0" w:type="auto"/>
            <w:tcBorders>
              <w:bottom w:val="nil"/>
            </w:tcBorders>
            <w:vAlign w:val="center"/>
          </w:tcPr>
          <w:p w14:paraId="5BB26F6C" w14:textId="08244B42" w:rsidR="00DD7604" w:rsidRPr="005F1028" w:rsidRDefault="00DD7604" w:rsidP="00E15DCF">
            <w:pPr>
              <w:jc w:val="center"/>
              <w:rPr>
                <w:sz w:val="22"/>
              </w:rPr>
            </w:pPr>
            <w:r w:rsidRPr="005F1028">
              <w:rPr>
                <w:sz w:val="22"/>
              </w:rPr>
              <w:t>First-order statistics features</w:t>
            </w:r>
          </w:p>
        </w:tc>
        <w:tc>
          <w:tcPr>
            <w:tcW w:w="4707" w:type="dxa"/>
            <w:tcBorders>
              <w:bottom w:val="nil"/>
            </w:tcBorders>
            <w:vAlign w:val="center"/>
          </w:tcPr>
          <w:p w14:paraId="46643B4D" w14:textId="12717EFF" w:rsidR="00DD7604" w:rsidRPr="005F1028" w:rsidRDefault="00DD7604" w:rsidP="00E15DCF">
            <w:pPr>
              <w:jc w:val="center"/>
              <w:rPr>
                <w:sz w:val="22"/>
              </w:rPr>
            </w:pPr>
            <w:r w:rsidRPr="005F1028">
              <w:rPr>
                <w:rFonts w:cs="Times New Roman"/>
                <w:kern w:val="0"/>
                <w:sz w:val="22"/>
              </w:rPr>
              <w:t>intensity histogram features</w:t>
            </w:r>
          </w:p>
        </w:tc>
        <w:tc>
          <w:tcPr>
            <w:tcW w:w="7048" w:type="dxa"/>
            <w:tcBorders>
              <w:bottom w:val="nil"/>
            </w:tcBorders>
            <w:vAlign w:val="center"/>
          </w:tcPr>
          <w:p w14:paraId="67697C11" w14:textId="15723A77" w:rsidR="00DD7604" w:rsidRPr="005F1028" w:rsidRDefault="00DD7604" w:rsidP="00DD7604">
            <w:pPr>
              <w:jc w:val="center"/>
              <w:rPr>
                <w:sz w:val="22"/>
              </w:rPr>
            </w:pPr>
            <w:r w:rsidRPr="005F1028">
              <w:rPr>
                <w:rFonts w:cs="Times New Roman"/>
                <w:sz w:val="22"/>
              </w:rPr>
              <w:t>Standard variance, Entropy, Skewness, Kurtosis</w:t>
            </w:r>
          </w:p>
        </w:tc>
        <w:tc>
          <w:tcPr>
            <w:tcW w:w="0" w:type="auto"/>
            <w:tcBorders>
              <w:bottom w:val="nil"/>
            </w:tcBorders>
            <w:vAlign w:val="center"/>
          </w:tcPr>
          <w:p w14:paraId="54C97F5A" w14:textId="3C6C0027" w:rsidR="00DD7604" w:rsidRPr="005F1028" w:rsidRDefault="00DD7604" w:rsidP="009C6D91">
            <w:pPr>
              <w:jc w:val="center"/>
              <w:rPr>
                <w:sz w:val="22"/>
              </w:rPr>
            </w:pPr>
            <w:r w:rsidRPr="005F1028">
              <w:rPr>
                <w:sz w:val="22"/>
              </w:rPr>
              <w:t>PET</w:t>
            </w:r>
            <w:r w:rsidRPr="005F1028">
              <w:rPr>
                <w:rFonts w:cs="Times New Roman"/>
                <w:sz w:val="22"/>
              </w:rPr>
              <w:t>&amp;CT</w:t>
            </w:r>
          </w:p>
        </w:tc>
      </w:tr>
      <w:tr w:rsidR="004B1343" w:rsidRPr="006D71D7" w14:paraId="19664AF9" w14:textId="77777777" w:rsidTr="006B740E">
        <w:trPr>
          <w:trHeight w:val="634"/>
        </w:trPr>
        <w:tc>
          <w:tcPr>
            <w:tcW w:w="0" w:type="auto"/>
            <w:vMerge w:val="restart"/>
            <w:tcBorders>
              <w:top w:val="nil"/>
              <w:bottom w:val="nil"/>
            </w:tcBorders>
            <w:vAlign w:val="center"/>
          </w:tcPr>
          <w:p w14:paraId="562C4FB1" w14:textId="22D5641A" w:rsidR="004B1343" w:rsidRPr="005F1028" w:rsidRDefault="004B1343" w:rsidP="00E15DCF">
            <w:pPr>
              <w:jc w:val="center"/>
              <w:rPr>
                <w:sz w:val="22"/>
              </w:rPr>
            </w:pPr>
            <w:r w:rsidRPr="005F1028">
              <w:rPr>
                <w:rFonts w:cs="Times New Roman"/>
                <w:kern w:val="0"/>
                <w:sz w:val="22"/>
              </w:rPr>
              <w:t>Morphological features</w:t>
            </w:r>
          </w:p>
        </w:tc>
        <w:tc>
          <w:tcPr>
            <w:tcW w:w="0" w:type="auto"/>
            <w:gridSpan w:val="2"/>
            <w:tcBorders>
              <w:top w:val="nil"/>
              <w:bottom w:val="nil"/>
            </w:tcBorders>
            <w:vAlign w:val="center"/>
          </w:tcPr>
          <w:p w14:paraId="7CFA1310" w14:textId="7F6819E3" w:rsidR="004B1343" w:rsidRPr="005F1028" w:rsidRDefault="004B1343" w:rsidP="00E15DCF">
            <w:pPr>
              <w:jc w:val="center"/>
              <w:rPr>
                <w:sz w:val="22"/>
              </w:rPr>
            </w:pPr>
            <w:r w:rsidRPr="005F1028">
              <w:rPr>
                <w:rFonts w:cs="Times New Roman"/>
                <w:kern w:val="0"/>
                <w:sz w:val="22"/>
              </w:rPr>
              <w:t>Volume</w:t>
            </w:r>
          </w:p>
        </w:tc>
        <w:tc>
          <w:tcPr>
            <w:tcW w:w="0" w:type="auto"/>
            <w:vMerge w:val="restart"/>
            <w:tcBorders>
              <w:top w:val="nil"/>
              <w:bottom w:val="nil"/>
            </w:tcBorders>
            <w:vAlign w:val="center"/>
          </w:tcPr>
          <w:p w14:paraId="20BA3DE2" w14:textId="720786CF" w:rsidR="004B1343" w:rsidRPr="005F1028" w:rsidRDefault="004B1343" w:rsidP="00E15DCF">
            <w:pPr>
              <w:jc w:val="center"/>
              <w:rPr>
                <w:sz w:val="22"/>
              </w:rPr>
            </w:pPr>
            <w:r w:rsidRPr="005F1028">
              <w:rPr>
                <w:rFonts w:cs="Times New Roman"/>
                <w:sz w:val="22"/>
              </w:rPr>
              <w:t>PET/CT</w:t>
            </w:r>
          </w:p>
        </w:tc>
      </w:tr>
      <w:tr w:rsidR="001A09BB" w:rsidRPr="006D71D7" w14:paraId="3DC9263F" w14:textId="77777777" w:rsidTr="006B740E">
        <w:tc>
          <w:tcPr>
            <w:tcW w:w="0" w:type="auto"/>
            <w:vMerge/>
            <w:tcBorders>
              <w:top w:val="nil"/>
              <w:bottom w:val="nil"/>
            </w:tcBorders>
            <w:vAlign w:val="center"/>
          </w:tcPr>
          <w:p w14:paraId="1998D632" w14:textId="77777777" w:rsidR="001A09BB" w:rsidRPr="005F1028" w:rsidRDefault="001A09BB" w:rsidP="00E15DCF">
            <w:pPr>
              <w:jc w:val="center"/>
              <w:rPr>
                <w:rFonts w:cs="Times New Roman"/>
                <w:kern w:val="0"/>
                <w:sz w:val="22"/>
              </w:rPr>
            </w:pPr>
          </w:p>
        </w:tc>
        <w:tc>
          <w:tcPr>
            <w:tcW w:w="0" w:type="auto"/>
            <w:gridSpan w:val="2"/>
            <w:tcBorders>
              <w:top w:val="nil"/>
              <w:bottom w:val="nil"/>
            </w:tcBorders>
            <w:vAlign w:val="center"/>
          </w:tcPr>
          <w:p w14:paraId="175E0BE4" w14:textId="42F77380" w:rsidR="001A09BB" w:rsidRPr="005F1028" w:rsidRDefault="001A09BB" w:rsidP="00E15DCF">
            <w:pPr>
              <w:jc w:val="center"/>
              <w:rPr>
                <w:sz w:val="22"/>
              </w:rPr>
            </w:pPr>
            <w:r w:rsidRPr="005F1028">
              <w:rPr>
                <w:rFonts w:cs="Times New Roman"/>
                <w:kern w:val="0"/>
                <w:sz w:val="22"/>
              </w:rPr>
              <w:t>Solidity, Eccentricity, Longest diameter</w:t>
            </w:r>
          </w:p>
        </w:tc>
        <w:tc>
          <w:tcPr>
            <w:tcW w:w="0" w:type="auto"/>
            <w:vMerge/>
            <w:tcBorders>
              <w:top w:val="nil"/>
              <w:bottom w:val="nil"/>
            </w:tcBorders>
            <w:vAlign w:val="center"/>
          </w:tcPr>
          <w:p w14:paraId="0DFAE77F" w14:textId="77777777" w:rsidR="001A09BB" w:rsidRPr="005F1028" w:rsidRDefault="001A09BB" w:rsidP="00E15DCF">
            <w:pPr>
              <w:jc w:val="center"/>
              <w:rPr>
                <w:sz w:val="22"/>
              </w:rPr>
            </w:pPr>
          </w:p>
        </w:tc>
      </w:tr>
      <w:tr w:rsidR="001A09BB" w:rsidRPr="006D71D7" w14:paraId="40EFC7C4" w14:textId="77777777" w:rsidTr="006B740E">
        <w:tc>
          <w:tcPr>
            <w:tcW w:w="0" w:type="auto"/>
            <w:tcBorders>
              <w:top w:val="nil"/>
              <w:bottom w:val="nil"/>
            </w:tcBorders>
            <w:vAlign w:val="center"/>
          </w:tcPr>
          <w:p w14:paraId="59A26879" w14:textId="3E70C10D" w:rsidR="001A09BB" w:rsidRPr="005F1028" w:rsidRDefault="001A09BB" w:rsidP="00E15DCF">
            <w:pPr>
              <w:jc w:val="center"/>
              <w:rPr>
                <w:rFonts w:cs="Times New Roman"/>
                <w:kern w:val="0"/>
                <w:sz w:val="22"/>
              </w:rPr>
            </w:pPr>
            <w:r w:rsidRPr="005F1028">
              <w:rPr>
                <w:rFonts w:cs="Times New Roman"/>
                <w:kern w:val="0"/>
                <w:sz w:val="22"/>
              </w:rPr>
              <w:t>Texture features</w:t>
            </w:r>
          </w:p>
        </w:tc>
        <w:tc>
          <w:tcPr>
            <w:tcW w:w="0" w:type="auto"/>
            <w:gridSpan w:val="2"/>
            <w:tcBorders>
              <w:top w:val="nil"/>
              <w:bottom w:val="nil"/>
            </w:tcBorders>
          </w:tcPr>
          <w:p w14:paraId="7D532DF3" w14:textId="552E7C4B" w:rsidR="001A09BB" w:rsidRPr="005F1028" w:rsidRDefault="001A09BB" w:rsidP="003F3EDA">
            <w:pPr>
              <w:rPr>
                <w:rFonts w:cs="Times New Roman"/>
                <w:sz w:val="22"/>
              </w:rPr>
            </w:pPr>
            <w:r w:rsidRPr="005F1028">
              <w:rPr>
                <w:rFonts w:cs="Times New Roman"/>
                <w:sz w:val="22"/>
              </w:rPr>
              <w:t>20 GLCM features</w:t>
            </w:r>
            <w:r w:rsidR="006604DE" w:rsidRPr="005F1028">
              <w:rPr>
                <w:rFonts w:cs="Times New Roman"/>
                <w:sz w:val="22"/>
              </w:rPr>
              <w:t xml:space="preserve"> (</w:t>
            </w:r>
            <w:r w:rsidR="006604DE" w:rsidRPr="005F1028">
              <w:rPr>
                <w:sz w:val="22"/>
              </w:rPr>
              <w:t>2nd-order</w:t>
            </w:r>
            <w:r w:rsidR="006604DE" w:rsidRPr="005F1028">
              <w:rPr>
                <w:rFonts w:cs="Times New Roman"/>
                <w:sz w:val="22"/>
              </w:rPr>
              <w:t>)</w:t>
            </w:r>
            <w:r w:rsidRPr="005F1028">
              <w:rPr>
                <w:rFonts w:cs="Times New Roman"/>
                <w:sz w:val="22"/>
              </w:rPr>
              <w:t>: Energy, Auto correlation, Contrast, Correlation, Cluster prominence, Entropy, Cluster shade, Dissimilarity, Homogeneity, Maximum probability, Sum of squares, Sum average, Sum variance, Sum entropy, Difference variance, Difference entropy, Information measure of correlation1 (IMC1), Information measure of correlation2 (IMC2), Inverse difference normalized, Inverse difference moment normalized</w:t>
            </w:r>
          </w:p>
          <w:p w14:paraId="7B16AB80" w14:textId="7B01FE9F" w:rsidR="001A09BB" w:rsidRPr="005F1028" w:rsidRDefault="001A09BB" w:rsidP="003F3EDA">
            <w:pPr>
              <w:rPr>
                <w:rFonts w:cs="Times New Roman"/>
                <w:sz w:val="22"/>
              </w:rPr>
            </w:pPr>
            <w:r w:rsidRPr="005F1028">
              <w:rPr>
                <w:rFonts w:cs="Times New Roman"/>
                <w:sz w:val="22"/>
              </w:rPr>
              <w:t>13 GLRLM features</w:t>
            </w:r>
            <w:r w:rsidR="006604DE" w:rsidRPr="005F1028">
              <w:rPr>
                <w:rFonts w:cs="Times New Roman"/>
                <w:sz w:val="22"/>
              </w:rPr>
              <w:t xml:space="preserve"> (High-order)</w:t>
            </w:r>
            <w:r w:rsidRPr="005F1028">
              <w:rPr>
                <w:rFonts w:cs="Times New Roman"/>
                <w:sz w:val="22"/>
              </w:rPr>
              <w:t>: Short Run Emphasis, Long Run Emphasis, Gray Level Non-Uniformity, Run Length Non-Uniformity, Run Percentage, Low Gray Level Run Emphasis, High Gray Level Run Emphasis, Short Run Low Gray Level Emphasis, Short Run High Gray Level Emphasis, Long Run Low Gray Level Emphasis, Long Run High Gray Level Emphasis, Gray Level Variance, Run length Variance</w:t>
            </w:r>
          </w:p>
          <w:p w14:paraId="46570113" w14:textId="781082FE" w:rsidR="001A09BB" w:rsidRPr="005F1028" w:rsidRDefault="001A09BB" w:rsidP="003F3EDA">
            <w:pPr>
              <w:rPr>
                <w:rFonts w:cs="Times New Roman"/>
                <w:sz w:val="22"/>
              </w:rPr>
            </w:pPr>
            <w:r w:rsidRPr="005F1028">
              <w:rPr>
                <w:rFonts w:cs="Times New Roman"/>
                <w:sz w:val="22"/>
              </w:rPr>
              <w:t>4 GLDS features</w:t>
            </w:r>
            <w:r w:rsidR="006604DE" w:rsidRPr="005F1028">
              <w:rPr>
                <w:rFonts w:cs="Times New Roman"/>
                <w:sz w:val="22"/>
              </w:rPr>
              <w:t xml:space="preserve"> (</w:t>
            </w:r>
            <w:r w:rsidR="006604DE" w:rsidRPr="005F1028">
              <w:rPr>
                <w:sz w:val="22"/>
              </w:rPr>
              <w:t>1nd-order</w:t>
            </w:r>
            <w:r w:rsidR="006604DE" w:rsidRPr="005F1028">
              <w:rPr>
                <w:rFonts w:cs="Times New Roman"/>
                <w:sz w:val="22"/>
              </w:rPr>
              <w:t>)</w:t>
            </w:r>
            <w:r w:rsidRPr="005F1028">
              <w:rPr>
                <w:rFonts w:cs="Times New Roman"/>
                <w:sz w:val="22"/>
              </w:rPr>
              <w:t>: Mean, Entropy, Contrast, Energy</w:t>
            </w:r>
          </w:p>
          <w:p w14:paraId="12D0FF43" w14:textId="43451333" w:rsidR="001A09BB" w:rsidRPr="005F1028" w:rsidRDefault="001A09BB" w:rsidP="003F3EDA">
            <w:pPr>
              <w:rPr>
                <w:rFonts w:cs="Times New Roman"/>
                <w:sz w:val="22"/>
              </w:rPr>
            </w:pPr>
            <w:r w:rsidRPr="005F1028">
              <w:rPr>
                <w:rFonts w:cs="Times New Roman"/>
                <w:sz w:val="22"/>
              </w:rPr>
              <w:t>5 NGTDM features</w:t>
            </w:r>
            <w:r w:rsidR="006604DE" w:rsidRPr="005F1028">
              <w:rPr>
                <w:rFonts w:cs="Times New Roman"/>
                <w:sz w:val="22"/>
              </w:rPr>
              <w:t xml:space="preserve"> (High-order)</w:t>
            </w:r>
            <w:r w:rsidRPr="005F1028">
              <w:rPr>
                <w:rFonts w:cs="Times New Roman"/>
                <w:sz w:val="22"/>
              </w:rPr>
              <w:t>: Coarseness, Contrast, Busyness, Complexity and Strength</w:t>
            </w:r>
          </w:p>
          <w:p w14:paraId="468EC140" w14:textId="3E990567" w:rsidR="001A09BB" w:rsidRPr="005F1028" w:rsidRDefault="001A09BB" w:rsidP="003F3EDA">
            <w:pPr>
              <w:rPr>
                <w:rFonts w:cs="Times New Roman"/>
                <w:sz w:val="22"/>
              </w:rPr>
            </w:pPr>
            <w:r w:rsidRPr="005F1028">
              <w:rPr>
                <w:rFonts w:cs="Times New Roman"/>
                <w:sz w:val="22"/>
              </w:rPr>
              <w:t>13 GLZSM features</w:t>
            </w:r>
            <w:r w:rsidR="006604DE" w:rsidRPr="005F1028">
              <w:rPr>
                <w:rFonts w:cs="Times New Roman"/>
                <w:sz w:val="22"/>
              </w:rPr>
              <w:t xml:space="preserve"> (High-order)</w:t>
            </w:r>
            <w:r w:rsidRPr="005F1028">
              <w:rPr>
                <w:rFonts w:cs="Times New Roman"/>
                <w:sz w:val="22"/>
              </w:rPr>
              <w:t>: Small Zone Emphasis, Large Zone Emphasis, Gray Level Non-uniformity, Zone Size Non-uniformity, Zone Percentage, Low Gray Level Zone Emphasis, High Gray level Zone Emphasis, Small Zone Low Gray Level Emphasis, Small Zone High Gray-Level Emphasis, Large Zone Low Gray-Level Emphasis, Large Zone High Gray-Level Emphasis, Gray Level Variance and Zone Size Variance</w:t>
            </w:r>
          </w:p>
        </w:tc>
        <w:tc>
          <w:tcPr>
            <w:tcW w:w="0" w:type="auto"/>
            <w:tcBorders>
              <w:top w:val="nil"/>
              <w:bottom w:val="nil"/>
            </w:tcBorders>
            <w:vAlign w:val="center"/>
          </w:tcPr>
          <w:p w14:paraId="6D987F2D" w14:textId="73EE760E" w:rsidR="001A09BB" w:rsidRPr="005F1028" w:rsidRDefault="001A09BB" w:rsidP="00E15DCF">
            <w:pPr>
              <w:jc w:val="center"/>
              <w:rPr>
                <w:sz w:val="22"/>
              </w:rPr>
            </w:pPr>
            <w:r w:rsidRPr="005F1028">
              <w:rPr>
                <w:rFonts w:cs="Times New Roman"/>
                <w:sz w:val="22"/>
              </w:rPr>
              <w:t>PET&amp;CT</w:t>
            </w:r>
          </w:p>
        </w:tc>
      </w:tr>
      <w:tr w:rsidR="001A09BB" w:rsidRPr="006D71D7" w14:paraId="3190B751" w14:textId="77777777" w:rsidTr="006B740E">
        <w:tc>
          <w:tcPr>
            <w:tcW w:w="0" w:type="auto"/>
            <w:tcBorders>
              <w:top w:val="nil"/>
            </w:tcBorders>
            <w:vAlign w:val="center"/>
          </w:tcPr>
          <w:p w14:paraId="7589AF36" w14:textId="7599E11F" w:rsidR="001A09BB" w:rsidRPr="005F1028" w:rsidRDefault="001A09BB" w:rsidP="00E15DCF">
            <w:pPr>
              <w:jc w:val="center"/>
              <w:rPr>
                <w:rFonts w:cs="Times New Roman"/>
                <w:kern w:val="0"/>
                <w:sz w:val="22"/>
              </w:rPr>
            </w:pPr>
            <w:r w:rsidRPr="005F1028">
              <w:rPr>
                <w:rFonts w:cs="Times New Roman"/>
                <w:kern w:val="0"/>
                <w:sz w:val="22"/>
              </w:rPr>
              <w:t>Wavelet</w:t>
            </w:r>
          </w:p>
        </w:tc>
        <w:tc>
          <w:tcPr>
            <w:tcW w:w="0" w:type="auto"/>
            <w:gridSpan w:val="2"/>
            <w:tcBorders>
              <w:top w:val="nil"/>
            </w:tcBorders>
          </w:tcPr>
          <w:p w14:paraId="3E13A354" w14:textId="7016596F" w:rsidR="001A09BB" w:rsidRPr="005F1028" w:rsidRDefault="001A09BB" w:rsidP="003F3EDA">
            <w:pPr>
              <w:rPr>
                <w:rFonts w:cs="Times New Roman"/>
                <w:sz w:val="22"/>
              </w:rPr>
            </w:pPr>
            <w:r w:rsidRPr="005F1028">
              <w:rPr>
                <w:rFonts w:cs="Times New Roman"/>
                <w:kern w:val="0"/>
                <w:sz w:val="22"/>
              </w:rPr>
              <w:t xml:space="preserve">Texture </w:t>
            </w:r>
            <w:r w:rsidRPr="005F1028">
              <w:rPr>
                <w:sz w:val="22"/>
              </w:rPr>
              <w:t>features for four rotational-invariant groups of 1 level wavelet decomposition: LLL, LLH+LHL+HLL, LHH+HLH+HHL, and HHH</w:t>
            </w:r>
          </w:p>
        </w:tc>
        <w:tc>
          <w:tcPr>
            <w:tcW w:w="0" w:type="auto"/>
            <w:tcBorders>
              <w:top w:val="nil"/>
            </w:tcBorders>
            <w:vAlign w:val="center"/>
          </w:tcPr>
          <w:p w14:paraId="126D98F9" w14:textId="6868E225" w:rsidR="001A09BB" w:rsidRPr="005F1028" w:rsidRDefault="001A09BB" w:rsidP="00E15DCF">
            <w:pPr>
              <w:jc w:val="center"/>
              <w:rPr>
                <w:rFonts w:cs="Times New Roman"/>
                <w:sz w:val="22"/>
              </w:rPr>
            </w:pPr>
            <w:r w:rsidRPr="005F1028">
              <w:rPr>
                <w:rFonts w:cs="Times New Roman"/>
                <w:sz w:val="22"/>
              </w:rPr>
              <w:t>PET&amp;CT</w:t>
            </w:r>
          </w:p>
        </w:tc>
      </w:tr>
    </w:tbl>
    <w:p w14:paraId="054EBD42" w14:textId="47B270AF" w:rsidR="00CF10B2" w:rsidRDefault="00CF10B2" w:rsidP="006C1834"/>
    <w:sectPr w:rsidR="00CF10B2" w:rsidSect="000F3879">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63CC4" w14:textId="77777777" w:rsidR="0063081B" w:rsidRDefault="0063081B" w:rsidP="00DB1CE1">
      <w:r>
        <w:separator/>
      </w:r>
    </w:p>
  </w:endnote>
  <w:endnote w:type="continuationSeparator" w:id="0">
    <w:p w14:paraId="4C7E65B1" w14:textId="77777777" w:rsidR="0063081B" w:rsidRDefault="0063081B" w:rsidP="00DB1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B04A0" w14:textId="77777777" w:rsidR="0063081B" w:rsidRDefault="0063081B" w:rsidP="00DB1CE1">
      <w:r>
        <w:separator/>
      </w:r>
    </w:p>
  </w:footnote>
  <w:footnote w:type="continuationSeparator" w:id="0">
    <w:p w14:paraId="7BDECD1B" w14:textId="77777777" w:rsidR="0063081B" w:rsidRDefault="0063081B" w:rsidP="00DB1C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7F9"/>
    <w:rsid w:val="00035773"/>
    <w:rsid w:val="000F3879"/>
    <w:rsid w:val="00123683"/>
    <w:rsid w:val="00130E38"/>
    <w:rsid w:val="00185AA8"/>
    <w:rsid w:val="001869AE"/>
    <w:rsid w:val="00197A97"/>
    <w:rsid w:val="001A09BB"/>
    <w:rsid w:val="001B3517"/>
    <w:rsid w:val="001E07F9"/>
    <w:rsid w:val="002B2182"/>
    <w:rsid w:val="003205DA"/>
    <w:rsid w:val="00392DB9"/>
    <w:rsid w:val="003F3EDA"/>
    <w:rsid w:val="004B1343"/>
    <w:rsid w:val="005C7704"/>
    <w:rsid w:val="005F1028"/>
    <w:rsid w:val="0063081B"/>
    <w:rsid w:val="006604DE"/>
    <w:rsid w:val="00666428"/>
    <w:rsid w:val="00692FB4"/>
    <w:rsid w:val="006B740E"/>
    <w:rsid w:val="006C1834"/>
    <w:rsid w:val="006D71D7"/>
    <w:rsid w:val="007542D2"/>
    <w:rsid w:val="00762DEB"/>
    <w:rsid w:val="007F0554"/>
    <w:rsid w:val="00903640"/>
    <w:rsid w:val="0094126C"/>
    <w:rsid w:val="00945BA0"/>
    <w:rsid w:val="009C6D91"/>
    <w:rsid w:val="00B25076"/>
    <w:rsid w:val="00B273E1"/>
    <w:rsid w:val="00C317EF"/>
    <w:rsid w:val="00CE430D"/>
    <w:rsid w:val="00CF10B2"/>
    <w:rsid w:val="00D82904"/>
    <w:rsid w:val="00DB1CE1"/>
    <w:rsid w:val="00DD7604"/>
    <w:rsid w:val="00E15DCF"/>
    <w:rsid w:val="00E24FF2"/>
    <w:rsid w:val="00EA61E9"/>
    <w:rsid w:val="00F10C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CD532D"/>
  <w15:chartTrackingRefBased/>
  <w15:docId w15:val="{AA2D46B8-560D-4109-A4C0-7A2C6B3EF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1CE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1CE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B1CE1"/>
    <w:rPr>
      <w:sz w:val="18"/>
      <w:szCs w:val="18"/>
    </w:rPr>
  </w:style>
  <w:style w:type="paragraph" w:styleId="a5">
    <w:name w:val="footer"/>
    <w:basedOn w:val="a"/>
    <w:link w:val="a6"/>
    <w:uiPriority w:val="99"/>
    <w:unhideWhenUsed/>
    <w:rsid w:val="00DB1CE1"/>
    <w:pPr>
      <w:tabs>
        <w:tab w:val="center" w:pos="4153"/>
        <w:tab w:val="right" w:pos="8306"/>
      </w:tabs>
      <w:snapToGrid w:val="0"/>
      <w:jc w:val="left"/>
    </w:pPr>
    <w:rPr>
      <w:sz w:val="18"/>
      <w:szCs w:val="18"/>
    </w:rPr>
  </w:style>
  <w:style w:type="character" w:customStyle="1" w:styleId="a6">
    <w:name w:val="页脚 字符"/>
    <w:basedOn w:val="a0"/>
    <w:link w:val="a5"/>
    <w:uiPriority w:val="99"/>
    <w:rsid w:val="00DB1CE1"/>
    <w:rPr>
      <w:sz w:val="18"/>
      <w:szCs w:val="18"/>
    </w:rPr>
  </w:style>
  <w:style w:type="paragraph" w:styleId="a7">
    <w:name w:val="Balloon Text"/>
    <w:basedOn w:val="a"/>
    <w:link w:val="a8"/>
    <w:uiPriority w:val="99"/>
    <w:semiHidden/>
    <w:unhideWhenUsed/>
    <w:rsid w:val="00DB1CE1"/>
    <w:rPr>
      <w:sz w:val="18"/>
      <w:szCs w:val="18"/>
    </w:rPr>
  </w:style>
  <w:style w:type="character" w:customStyle="1" w:styleId="a8">
    <w:name w:val="批注框文本 字符"/>
    <w:basedOn w:val="a0"/>
    <w:link w:val="a7"/>
    <w:uiPriority w:val="99"/>
    <w:semiHidden/>
    <w:rsid w:val="00DB1CE1"/>
    <w:rPr>
      <w:sz w:val="18"/>
      <w:szCs w:val="18"/>
    </w:rPr>
  </w:style>
  <w:style w:type="table" w:styleId="a9">
    <w:name w:val="Table Grid"/>
    <w:basedOn w:val="a1"/>
    <w:uiPriority w:val="39"/>
    <w:rsid w:val="00DB1C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无格式表格 21"/>
    <w:basedOn w:val="a1"/>
    <w:uiPriority w:val="42"/>
    <w:qFormat/>
    <w:rsid w:val="00185AA8"/>
    <w:rPr>
      <w:rFonts w:cs="Times New Roman"/>
      <w:kern w:val="0"/>
      <w:sz w:val="20"/>
      <w:szCs w:val="20"/>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1</Pages>
  <Words>260</Words>
  <Characters>1485</Characters>
  <Application>Microsoft Office Word</Application>
  <DocSecurity>0</DocSecurity>
  <Lines>12</Lines>
  <Paragraphs>3</Paragraphs>
  <ScaleCrop>false</ScaleCrop>
  <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wongfei</dc:creator>
  <cp:keywords/>
  <dc:description/>
  <cp:lastModifiedBy>wang fei</cp:lastModifiedBy>
  <cp:revision>30</cp:revision>
  <dcterms:created xsi:type="dcterms:W3CDTF">2020-10-15T13:52:00Z</dcterms:created>
  <dcterms:modified xsi:type="dcterms:W3CDTF">2022-04-05T07:13:00Z</dcterms:modified>
</cp:coreProperties>
</file>