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71BAC" w14:textId="0334A341" w:rsidR="00B80439" w:rsidRPr="00A06A4E" w:rsidRDefault="00503D25" w:rsidP="00A06A4E">
      <w:pPr>
        <w:pStyle w:val="2"/>
        <w:rPr>
          <w:rFonts w:hint="eastAsia"/>
        </w:rPr>
      </w:pPr>
      <w:r w:rsidRPr="008B7165">
        <w:t>Supplemental materials</w:t>
      </w:r>
    </w:p>
    <w:p w14:paraId="42E21D98" w14:textId="77777777" w:rsidR="00503D25" w:rsidRPr="008B7165" w:rsidRDefault="00503D25" w:rsidP="0057078D">
      <w:pPr>
        <w:pStyle w:val="3"/>
      </w:pPr>
      <w:r w:rsidRPr="008B7165">
        <w:t>Procedures of the two precursors compound 3, compound 5, and two standards compound 7, compound 9</w:t>
      </w:r>
    </w:p>
    <w:p w14:paraId="561D7B87" w14:textId="3C16ECD8" w:rsidR="00503D25" w:rsidRPr="00957DE3" w:rsidRDefault="00503D25" w:rsidP="00503D25">
      <w:pPr>
        <w:spacing w:line="360" w:lineRule="auto"/>
        <w:rPr>
          <w:rFonts w:ascii="Times New Roman" w:hAnsi="Times New Roman" w:cs="Times New Roman" w:hint="eastAsia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>The general coupling reactions were compound 1 (6-hydroxyquinoline-4-carboxylic acid, 1 eq.) or compound 6 (6-methoxyquinoline-4-carboxylic acid, 1 eq.) react with N, N-diisopropylethylamine (DIPEA, 1.2 eq.), N-hydroxy-benzotriazole (</w:t>
      </w:r>
      <w:proofErr w:type="spellStart"/>
      <w:r w:rsidRPr="008B7165">
        <w:rPr>
          <w:rFonts w:ascii="Times New Roman" w:hAnsi="Times New Roman" w:cs="Times New Roman"/>
          <w:color w:val="000000"/>
          <w:sz w:val="24"/>
          <w:szCs w:val="24"/>
        </w:rPr>
        <w:t>HOBt</w:t>
      </w:r>
      <w:proofErr w:type="spellEnd"/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, 1.2 eq.), and 2-(1Hbenzotriazole-1-yl)21,1,3,3-tetramethyluronium hexafluorophosphate (HBTU, 1.9 eq.) in an ice-water bath for two minutes, and then compound 2 ((S)-4,4-difluoro-1-glycylpyrrolidine-2-carbonitrile, 1.3 eq.) or compound 4 ((S)-1-glycylpyrrolidine-2-carbonitrile, 1.3 eq.) were added in the above solution, respectively. The reaction was carried out at room temperature for 2 h. Then the four products were collected by chromatographic separations which were performed on a silica gel column. The LC/MS and </w:t>
      </w:r>
      <w:r w:rsidRPr="008B716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H-NMR data were illustrated in Supplemental Fig. 2-9</w:t>
      </w:r>
    </w:p>
    <w:p w14:paraId="4418C2D5" w14:textId="77777777" w:rsidR="00503D25" w:rsidRPr="0057078D" w:rsidRDefault="00503D25" w:rsidP="0057078D">
      <w:pPr>
        <w:pStyle w:val="3"/>
      </w:pPr>
      <w:r w:rsidRPr="0057078D">
        <w:lastRenderedPageBreak/>
        <w:t>Supplemental Figures</w:t>
      </w:r>
    </w:p>
    <w:p w14:paraId="04F74897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8B7165">
        <w:rPr>
          <w:rFonts w:ascii="Times New Roman" w:hAnsi="Times New Roman" w:cs="Times New Roman"/>
        </w:rPr>
        <w:object w:dxaOrig="8677" w:dyaOrig="10827" w14:anchorId="34C73D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pt;height:516pt" o:ole="">
            <v:imagedata r:id="rId6" o:title=""/>
          </v:shape>
          <o:OLEObject Type="Embed" ProgID="ChemDraw.Document.6.0" ShapeID="_x0000_i1025" DrawAspect="Content" ObjectID="_1706797102" r:id="rId7"/>
        </w:object>
      </w:r>
    </w:p>
    <w:p w14:paraId="1DA868DA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>Fig.S1 Procedures of the precursors and standards.</w:t>
      </w:r>
    </w:p>
    <w:p w14:paraId="60CB3C2C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FD06109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8905E59" wp14:editId="4580374D">
            <wp:extent cx="5274310" cy="44710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79C8B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Fig.S2 1H NMR spectroscopic data for compound </w:t>
      </w:r>
      <w:r w:rsidRPr="008B71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2AD4728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C8F8806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8B7165">
        <w:rPr>
          <w:rFonts w:ascii="Times New Roman" w:hAnsi="Times New Roman" w:cs="Times New Roman"/>
          <w:noProof/>
        </w:rPr>
        <w:drawing>
          <wp:inline distT="0" distB="0" distL="0" distR="0" wp14:anchorId="62D65CF0" wp14:editId="54B84677">
            <wp:extent cx="5274310" cy="19812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21463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Fig.S3 LC/MS spectrometry for compound </w:t>
      </w:r>
      <w:r w:rsidRPr="008B71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2B4FB5F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3C7436EC" wp14:editId="516BC098">
            <wp:extent cx="5266055" cy="35134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51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C4A73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Fig.S4 1H NMR spectroscopic data for compound </w:t>
      </w:r>
      <w:r w:rsidRPr="008B71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C60D693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A14931B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noProof/>
        </w:rPr>
        <w:drawing>
          <wp:inline distT="0" distB="0" distL="0" distR="0" wp14:anchorId="2DC85E49" wp14:editId="7AD5F2E7">
            <wp:extent cx="5274310" cy="244665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C3425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Fig.S5 1H NMR spectroscopic data for compound </w:t>
      </w:r>
      <w:r w:rsidRPr="008B71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6495844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6CC06F7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7CD486B1" wp14:editId="00404165">
            <wp:extent cx="5274310" cy="4563745"/>
            <wp:effectExtent l="0" t="0" r="2540" b="8255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77F7AC1F-73E6-4831-B87D-9DBD583FB3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77F7AC1F-73E6-4831-B87D-9DBD583FB3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3F889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Fig.S6 1H NMR spectroscopic data for compound </w:t>
      </w:r>
      <w:r w:rsidRPr="008B71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0D2928F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94D5C47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8B7165">
        <w:rPr>
          <w:rFonts w:ascii="Times New Roman" w:hAnsi="Times New Roman" w:cs="Times New Roman"/>
          <w:noProof/>
        </w:rPr>
        <w:drawing>
          <wp:inline distT="0" distB="0" distL="0" distR="0" wp14:anchorId="3C19745E" wp14:editId="3792083A">
            <wp:extent cx="5274310" cy="23622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9F207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Fig.S7 LC/MS spectrometry for compound </w:t>
      </w:r>
      <w:r w:rsidRPr="008B71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F26AF0A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8B7165">
        <w:rPr>
          <w:rFonts w:ascii="Times New Roman" w:hAnsi="Times New Roman" w:cs="Times New Roman"/>
          <w:b/>
          <w:noProof/>
          <w:color w:val="000000"/>
          <w:sz w:val="24"/>
        </w:rPr>
        <w:lastRenderedPageBreak/>
        <w:drawing>
          <wp:inline distT="0" distB="0" distL="0" distR="0" wp14:anchorId="78526545" wp14:editId="0C03FDDB">
            <wp:extent cx="5274310" cy="3585845"/>
            <wp:effectExtent l="0" t="0" r="2540" b="0"/>
            <wp:docPr id="6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DF25539B-0B02-451C-BE43-24CD5EA679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DF25539B-0B02-451C-BE43-24CD5EA679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5EAD3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Fig.S8 1H NMR spectroscopic data for compound </w:t>
      </w:r>
      <w:r w:rsidRPr="008B71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5DE7279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1DA7348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8B7165">
        <w:rPr>
          <w:rFonts w:ascii="Times New Roman" w:hAnsi="Times New Roman" w:cs="Times New Roman"/>
          <w:noProof/>
        </w:rPr>
        <w:drawing>
          <wp:inline distT="0" distB="0" distL="0" distR="0" wp14:anchorId="102E82B8" wp14:editId="63597D3F">
            <wp:extent cx="5274310" cy="261874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57D81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Fig.S9 LC/MS spectrometry for compound </w:t>
      </w:r>
      <w:r w:rsidRPr="008B7165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02C8A5D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57C4FD15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3B2DECAA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8B716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B26C0C3" wp14:editId="18BDE1BE">
            <wp:extent cx="5274310" cy="3088640"/>
            <wp:effectExtent l="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8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D0E05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Fig.S10 The preparational HPLC data of </w:t>
      </w:r>
      <w:r w:rsidRPr="008B716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11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C-FAPI-01. The HPLC separation conditions: the UV</w:t>
      </w:r>
      <w:r w:rsidRPr="008B7165">
        <w:rPr>
          <w:rFonts w:ascii="Times New Roman" w:hAnsi="Times New Roman" w:cs="Times New Roman"/>
        </w:rPr>
        <w:t xml:space="preserve"> 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wavelength is 254nm, the Flow rate is 4mLmin</w:t>
      </w:r>
      <w:r w:rsidRPr="008B716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, the mobile phase is 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V 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</w:rPr>
        <w:t>acetonitrile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/ V 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</w:rPr>
        <w:t>water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=32/68. </w:t>
      </w:r>
      <w:r w:rsidRPr="008B716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11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C-FAPI-01 was collected from 9:38 to 9:40, also the retention time was from 10-12min.</w:t>
      </w:r>
    </w:p>
    <w:p w14:paraId="1A6FD4F9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noProof/>
        </w:rPr>
        <w:drawing>
          <wp:inline distT="0" distB="0" distL="0" distR="0" wp14:anchorId="4789F4E3" wp14:editId="12849184">
            <wp:extent cx="5274310" cy="4389755"/>
            <wp:effectExtent l="0" t="0" r="254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8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A1160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Fig.S11 The preparational HPLC data of </w:t>
      </w:r>
      <w:r w:rsidRPr="008B716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11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C-FAPI-02. The HPLC separation conditions: the UV</w:t>
      </w:r>
      <w:r w:rsidRPr="008B7165">
        <w:rPr>
          <w:rFonts w:ascii="Times New Roman" w:hAnsi="Times New Roman" w:cs="Times New Roman"/>
        </w:rPr>
        <w:t xml:space="preserve"> 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wavelength is 254nm, the Flow rate is 4mLmin</w:t>
      </w:r>
      <w:r w:rsidRPr="008B716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, the mobile phase is 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V 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</w:rPr>
        <w:t>acetonitrile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/ V 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</w:rPr>
        <w:t>water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=42/58. </w:t>
      </w:r>
      <w:r w:rsidRPr="008B716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11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C-FAPI-02 was collected from 15:32 to 15:34, also the retention time was from 9-11min.</w:t>
      </w:r>
    </w:p>
    <w:p w14:paraId="67895D33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7078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NOTE: 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In Fig.S10 and Fig.S11, the red curve is the radio monitoring curve and the blue curve is the UV monitoring curve. The first radio-peek is the injected monitoring curve also the time point of sample injection. </w:t>
      </w:r>
    </w:p>
    <w:p w14:paraId="1BC958C1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165E94D2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457FF250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8B7165">
        <w:rPr>
          <w:rFonts w:ascii="Times New Roman" w:hAnsi="Times New Roman" w:cs="Times New Roman"/>
          <w:noProof/>
        </w:rPr>
        <w:drawing>
          <wp:inline distT="0" distB="0" distL="0" distR="0" wp14:anchorId="02CF41C2" wp14:editId="641A69EB">
            <wp:extent cx="4919345" cy="5062855"/>
            <wp:effectExtent l="0" t="0" r="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345" cy="506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FBF7A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>Fig.S12 The HPLC analysis of</w:t>
      </w:r>
      <w:r w:rsidRPr="008B7165">
        <w:rPr>
          <w:rFonts w:ascii="Times New Roman" w:hAnsi="Times New Roman" w:cs="Times New Roman"/>
          <w:color w:val="000000"/>
          <w:sz w:val="24"/>
        </w:rPr>
        <w:t xml:space="preserve"> </w:t>
      </w:r>
      <w:r w:rsidRPr="008B7165">
        <w:rPr>
          <w:rFonts w:ascii="Times New Roman" w:hAnsi="Times New Roman" w:cs="Times New Roman"/>
          <w:color w:val="000000"/>
          <w:sz w:val="24"/>
          <w:vertAlign w:val="superscript"/>
        </w:rPr>
        <w:t>11</w:t>
      </w:r>
      <w:r w:rsidRPr="008B7165">
        <w:rPr>
          <w:rFonts w:ascii="Times New Roman" w:hAnsi="Times New Roman" w:cs="Times New Roman"/>
          <w:color w:val="000000"/>
          <w:sz w:val="24"/>
        </w:rPr>
        <w:t>C-FAPI-02. a. the radio-retention time was 7.035min; b. the UV-retention time was 6.846min.</w:t>
      </w:r>
    </w:p>
    <w:p w14:paraId="37E1920C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14:paraId="63ACB152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8B7165">
        <w:rPr>
          <w:rFonts w:ascii="Times New Roman" w:hAnsi="Times New Roman" w:cs="Times New Roman"/>
        </w:rPr>
        <w:object w:dxaOrig="7295" w:dyaOrig="5570" w14:anchorId="5A82C289">
          <v:shape id="_x0000_i1026" type="#_x0000_t75" style="width:420pt;height:318pt" o:ole="">
            <v:imagedata r:id="rId19" o:title=""/>
          </v:shape>
          <o:OLEObject Type="Embed" ProgID="Origin95.Graph" ShapeID="_x0000_i1026" DrawAspect="Content" ObjectID="_1706797103" r:id="rId20"/>
        </w:objec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Fig.S13 The stability of</w:t>
      </w:r>
      <w:r w:rsidRPr="008B7165">
        <w:rPr>
          <w:rFonts w:ascii="Times New Roman" w:hAnsi="Times New Roman" w:cs="Times New Roman"/>
          <w:color w:val="000000"/>
          <w:sz w:val="24"/>
        </w:rPr>
        <w:t xml:space="preserve"> </w:t>
      </w:r>
      <w:r w:rsidRPr="008B7165">
        <w:rPr>
          <w:rFonts w:ascii="Times New Roman" w:hAnsi="Times New Roman" w:cs="Times New Roman"/>
          <w:color w:val="000000"/>
          <w:sz w:val="24"/>
          <w:vertAlign w:val="superscript"/>
        </w:rPr>
        <w:t>11</w:t>
      </w:r>
      <w:r w:rsidRPr="008B7165">
        <w:rPr>
          <w:rFonts w:ascii="Times New Roman" w:hAnsi="Times New Roman" w:cs="Times New Roman"/>
          <w:color w:val="000000"/>
          <w:sz w:val="24"/>
        </w:rPr>
        <w:t xml:space="preserve">C-FAPI-02 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in PBS at 30, 60, 90, 120, and 150min</w:t>
      </w:r>
      <w:r w:rsidRPr="008B7165">
        <w:rPr>
          <w:rFonts w:ascii="Times New Roman" w:hAnsi="Times New Roman" w:cs="Times New Roman"/>
          <w:color w:val="000000"/>
          <w:sz w:val="24"/>
        </w:rPr>
        <w:t xml:space="preserve">. </w:t>
      </w:r>
    </w:p>
    <w:p w14:paraId="731B8442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</w:p>
    <w:p w14:paraId="01ADC048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8B7165">
        <w:rPr>
          <w:rFonts w:ascii="Times New Roman" w:hAnsi="Times New Roman" w:cs="Times New Roman"/>
          <w:noProof/>
        </w:rPr>
        <w:drawing>
          <wp:inline distT="0" distB="0" distL="0" distR="0" wp14:anchorId="645E5049" wp14:editId="113AF14A">
            <wp:extent cx="4572000" cy="274320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637A4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Fig.S14 The </w:t>
      </w:r>
      <w:proofErr w:type="spellStart"/>
      <w:r w:rsidRPr="008B7165">
        <w:rPr>
          <w:rFonts w:ascii="Times New Roman" w:hAnsi="Times New Roman" w:cs="Times New Roman"/>
          <w:color w:val="000000"/>
          <w:sz w:val="24"/>
          <w:szCs w:val="24"/>
        </w:rPr>
        <w:t>iTLC</w:t>
      </w:r>
      <w:proofErr w:type="spellEnd"/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 of</w:t>
      </w:r>
      <w:r w:rsidRPr="008B7165">
        <w:rPr>
          <w:rFonts w:ascii="Times New Roman" w:hAnsi="Times New Roman" w:cs="Times New Roman"/>
          <w:color w:val="000000"/>
          <w:sz w:val="24"/>
        </w:rPr>
        <w:t xml:space="preserve"> </w:t>
      </w:r>
      <w:r w:rsidRPr="008B7165">
        <w:rPr>
          <w:rFonts w:ascii="Times New Roman" w:hAnsi="Times New Roman" w:cs="Times New Roman"/>
          <w:color w:val="000000"/>
          <w:sz w:val="24"/>
          <w:vertAlign w:val="superscript"/>
        </w:rPr>
        <w:t>1</w:t>
      </w:r>
      <w:r w:rsidRPr="008B7165">
        <w:rPr>
          <w:rFonts w:ascii="Times New Roman" w:eastAsia="楷体" w:hAnsi="Times New Roman" w:cs="Times New Roman"/>
          <w:sz w:val="24"/>
        </w:rPr>
        <w:t>[</w:t>
      </w:r>
      <w:r w:rsidRPr="008B7165">
        <w:rPr>
          <w:rFonts w:ascii="Times New Roman" w:eastAsia="楷体" w:hAnsi="Times New Roman" w:cs="Times New Roman"/>
          <w:sz w:val="24"/>
          <w:vertAlign w:val="superscript"/>
        </w:rPr>
        <w:t>68</w:t>
      </w:r>
      <w:r w:rsidRPr="008B7165">
        <w:rPr>
          <w:rFonts w:ascii="Times New Roman" w:eastAsia="楷体" w:hAnsi="Times New Roman" w:cs="Times New Roman"/>
          <w:sz w:val="24"/>
        </w:rPr>
        <w:t xml:space="preserve">Ga]Ga-DOTA-FAPI-04 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and the retention time is 0.594min and the retention factor value (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</w:rPr>
        <w:t>R</w:t>
      </w:r>
      <w:r w:rsidRPr="008B7165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</w:rPr>
        <w:t>f</w:t>
      </w:r>
      <w:r w:rsidRPr="008B7165">
        <w:rPr>
          <w:rFonts w:ascii="Times New Roman" w:hAnsi="Times New Roman" w:cs="Times New Roman"/>
          <w:color w:val="000000"/>
          <w:sz w:val="24"/>
          <w:szCs w:val="24"/>
        </w:rPr>
        <w:t>) is 0.713.</w:t>
      </w:r>
    </w:p>
    <w:p w14:paraId="46814BDF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476586" wp14:editId="570E7DA6">
            <wp:extent cx="5274310" cy="331978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1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88AD0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 xml:space="preserve">Fig.S15 </w:t>
      </w:r>
      <w:r w:rsidRPr="008B7165">
        <w:rPr>
          <w:rFonts w:ascii="Times New Roman" w:hAnsi="Times New Roman" w:cs="Times New Roman"/>
          <w:bCs/>
          <w:color w:val="000000"/>
          <w:sz w:val="24"/>
        </w:rPr>
        <w:t xml:space="preserve">Representative static PET imaging of </w:t>
      </w:r>
      <w:r w:rsidRPr="008B7165">
        <w:rPr>
          <w:rFonts w:ascii="Times New Roman" w:eastAsia="楷体" w:hAnsi="Times New Roman" w:cs="Times New Roman"/>
          <w:sz w:val="24"/>
        </w:rPr>
        <w:t>[</w:t>
      </w:r>
      <w:r w:rsidRPr="008B7165">
        <w:rPr>
          <w:rFonts w:ascii="Times New Roman" w:eastAsia="楷体" w:hAnsi="Times New Roman" w:cs="Times New Roman"/>
          <w:sz w:val="24"/>
          <w:vertAlign w:val="superscript"/>
        </w:rPr>
        <w:t>68</w:t>
      </w:r>
      <w:r w:rsidRPr="008B7165">
        <w:rPr>
          <w:rFonts w:ascii="Times New Roman" w:eastAsia="楷体" w:hAnsi="Times New Roman" w:cs="Times New Roman"/>
          <w:sz w:val="24"/>
        </w:rPr>
        <w:t>Ga]Ga-DOTA-FAPI-04 at 10, 30,60, and 90min.</w:t>
      </w:r>
    </w:p>
    <w:p w14:paraId="1F0239D6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33718C47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8B7165">
        <w:rPr>
          <w:rFonts w:ascii="Times New Roman" w:hAnsi="Times New Roman" w:cs="Times New Roman"/>
          <w:noProof/>
        </w:rPr>
        <w:drawing>
          <wp:inline distT="0" distB="0" distL="0" distR="0" wp14:anchorId="61F73D71" wp14:editId="64FD06B8">
            <wp:extent cx="5274310" cy="20034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0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F48DA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8B7165">
        <w:rPr>
          <w:rFonts w:ascii="Times New Roman" w:hAnsi="Times New Roman" w:cs="Times New Roman"/>
          <w:color w:val="000000"/>
          <w:sz w:val="24"/>
          <w:szCs w:val="24"/>
        </w:rPr>
        <w:t>Fig.S16</w:t>
      </w:r>
      <w:r w:rsidRPr="008B716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The Representative static PET imaging and distribution of </w:t>
      </w:r>
      <w:r w:rsidRPr="008B7165">
        <w:rPr>
          <w:rFonts w:ascii="Times New Roman" w:eastAsia="楷体" w:hAnsi="Times New Roman" w:cs="Times New Roman"/>
          <w:sz w:val="24"/>
          <w:szCs w:val="24"/>
        </w:rPr>
        <w:t>[</w:t>
      </w:r>
      <w:r w:rsidRPr="008B7165">
        <w:rPr>
          <w:rFonts w:ascii="Times New Roman" w:eastAsia="楷体" w:hAnsi="Times New Roman" w:cs="Times New Roman"/>
          <w:sz w:val="24"/>
          <w:szCs w:val="24"/>
          <w:vertAlign w:val="superscript"/>
        </w:rPr>
        <w:t>68</w:t>
      </w:r>
      <w:r w:rsidRPr="008B7165">
        <w:rPr>
          <w:rFonts w:ascii="Times New Roman" w:eastAsia="楷体" w:hAnsi="Times New Roman" w:cs="Times New Roman"/>
          <w:sz w:val="24"/>
          <w:szCs w:val="24"/>
        </w:rPr>
        <w:t xml:space="preserve">Ga]Ga-DOTA-FAPI-04. </w:t>
      </w:r>
      <w:r w:rsidRPr="008B716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a: The organs or tissues uptakes of </w:t>
      </w:r>
      <w:r w:rsidRPr="008B7165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11</w:t>
      </w:r>
      <w:r w:rsidRPr="008B716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C-FAPI-02 in U87MG tumor-bearing nude mice at 30, 60, 90min; b: the time-active-curve (TAC) of </w:t>
      </w:r>
      <w:r w:rsidRPr="008B7165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11</w:t>
      </w:r>
      <w:r w:rsidRPr="008B7165">
        <w:rPr>
          <w:rFonts w:ascii="Times New Roman" w:hAnsi="Times New Roman" w:cs="Times New Roman"/>
          <w:bCs/>
          <w:color w:val="000000"/>
          <w:sz w:val="24"/>
          <w:szCs w:val="24"/>
        </w:rPr>
        <w:t>C-FAPI-02 at 30, 60, 90min.</w:t>
      </w:r>
    </w:p>
    <w:p w14:paraId="193A8A7F" w14:textId="77777777" w:rsidR="00503D25" w:rsidRPr="008B7165" w:rsidRDefault="00503D25" w:rsidP="00503D25">
      <w:pPr>
        <w:spacing w:line="36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5DFDF8F" w14:textId="77777777" w:rsidR="00503D25" w:rsidRDefault="00503D25" w:rsidP="00503D25"/>
    <w:p w14:paraId="5FE71B1F" w14:textId="77777777" w:rsidR="00373D65" w:rsidRPr="00503D25" w:rsidRDefault="007D03E9"/>
    <w:sectPr w:rsidR="00373D65" w:rsidRPr="00503D25">
      <w:footerReference w:type="default" r:id="rId2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ECA63" w14:textId="77777777" w:rsidR="007D03E9" w:rsidRDefault="007D03E9" w:rsidP="00503D25">
      <w:r>
        <w:separator/>
      </w:r>
    </w:p>
  </w:endnote>
  <w:endnote w:type="continuationSeparator" w:id="0">
    <w:p w14:paraId="1ACEF454" w14:textId="77777777" w:rsidR="007D03E9" w:rsidRDefault="007D03E9" w:rsidP="00503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3044528"/>
      <w:docPartObj>
        <w:docPartGallery w:val="Page Numbers (Bottom of Page)"/>
        <w:docPartUnique/>
      </w:docPartObj>
    </w:sdtPr>
    <w:sdtEndPr/>
    <w:sdtContent>
      <w:p w14:paraId="59F7A58C" w14:textId="77777777" w:rsidR="0006358D" w:rsidRDefault="009B6562" w:rsidP="00FD26E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60549" w14:textId="77777777" w:rsidR="007D03E9" w:rsidRDefault="007D03E9" w:rsidP="00503D25">
      <w:r>
        <w:separator/>
      </w:r>
    </w:p>
  </w:footnote>
  <w:footnote w:type="continuationSeparator" w:id="0">
    <w:p w14:paraId="227CB94D" w14:textId="77777777" w:rsidR="007D03E9" w:rsidRDefault="007D03E9" w:rsidP="00503D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71C54"/>
    <w:rsid w:val="00071C54"/>
    <w:rsid w:val="00503D25"/>
    <w:rsid w:val="0057078D"/>
    <w:rsid w:val="00663B00"/>
    <w:rsid w:val="007317E8"/>
    <w:rsid w:val="00790B8D"/>
    <w:rsid w:val="007D03E9"/>
    <w:rsid w:val="008217A0"/>
    <w:rsid w:val="0093612A"/>
    <w:rsid w:val="00957DE3"/>
    <w:rsid w:val="009B6562"/>
    <w:rsid w:val="00A06A4E"/>
    <w:rsid w:val="00A30CAA"/>
    <w:rsid w:val="00B80439"/>
    <w:rsid w:val="00F06123"/>
    <w:rsid w:val="00FD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77E3AB"/>
  <w15:chartTrackingRefBased/>
  <w15:docId w15:val="{07945C54-9D4D-4227-802A-4BB0BAA02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3D25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57078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7078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D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D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D25"/>
    <w:rPr>
      <w:sz w:val="18"/>
      <w:szCs w:val="18"/>
    </w:rPr>
  </w:style>
  <w:style w:type="paragraph" w:customStyle="1" w:styleId="Teaser">
    <w:name w:val="Teaser"/>
    <w:basedOn w:val="a"/>
    <w:rsid w:val="00B80439"/>
    <w:pPr>
      <w:widowControl/>
      <w:spacing w:before="120"/>
      <w:jc w:val="left"/>
    </w:pPr>
    <w:rPr>
      <w:rFonts w:ascii="Calibri Light" w:eastAsia="Calibri Light" w:hAnsi="Calibri Light" w:cs="Calibri Light"/>
      <w:kern w:val="0"/>
      <w:sz w:val="24"/>
      <w:szCs w:val="24"/>
      <w:lang w:eastAsia="en-US"/>
    </w:rPr>
  </w:style>
  <w:style w:type="character" w:customStyle="1" w:styleId="20">
    <w:name w:val="标题 2 字符"/>
    <w:basedOn w:val="a0"/>
    <w:link w:val="2"/>
    <w:uiPriority w:val="9"/>
    <w:rsid w:val="0057078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7078D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4.tiff"/><Relationship Id="rId7" Type="http://schemas.openxmlformats.org/officeDocument/2006/relationships/oleObject" Target="embeddings/oleObject1.bin"/><Relationship Id="rId12" Type="http://schemas.openxmlformats.org/officeDocument/2006/relationships/image" Target="media/image6.png"/><Relationship Id="rId17" Type="http://schemas.openxmlformats.org/officeDocument/2006/relationships/image" Target="media/image11.tif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0" Type="http://schemas.openxmlformats.org/officeDocument/2006/relationships/oleObject" Target="embeddings/oleObject2.bin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tiff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23" Type="http://schemas.openxmlformats.org/officeDocument/2006/relationships/image" Target="media/image16.tiff"/><Relationship Id="rId10" Type="http://schemas.openxmlformats.org/officeDocument/2006/relationships/image" Target="media/image4.png"/><Relationship Id="rId19" Type="http://schemas.openxmlformats.org/officeDocument/2006/relationships/image" Target="media/image13.em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png"/><Relationship Id="rId22" Type="http://schemas.openxmlformats.org/officeDocument/2006/relationships/image" Target="media/image1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成</dc:creator>
  <cp:keywords/>
  <dc:description/>
  <cp:lastModifiedBy>王 成</cp:lastModifiedBy>
  <cp:revision>16</cp:revision>
  <dcterms:created xsi:type="dcterms:W3CDTF">2022-02-18T23:01:00Z</dcterms:created>
  <dcterms:modified xsi:type="dcterms:W3CDTF">2022-02-19T09:32:00Z</dcterms:modified>
</cp:coreProperties>
</file>