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235706" w14:textId="3800D4CC" w:rsidR="00E15967" w:rsidRDefault="00FF40A9" w:rsidP="00F22CA6">
      <w:pP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E1596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Supplementary Figure Legends:</w:t>
      </w:r>
    </w:p>
    <w:p w14:paraId="7C3B5043" w14:textId="48588F58" w:rsidR="00E15967" w:rsidRPr="00B41D21" w:rsidRDefault="00FF40A9" w:rsidP="00BD34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Figure </w:t>
      </w:r>
      <w:r w:rsidR="00E33B44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S1</w:t>
      </w: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:</w:t>
      </w:r>
      <w:r>
        <w:rPr>
          <w:rFonts w:ascii="LjffrpMinionProRegular" w:hAnsi="LjffrpMinionProRegular" w:cs="LjffrpMinionProRegular"/>
          <w:color w:val="131413"/>
          <w:kern w:val="0"/>
          <w:sz w:val="18"/>
          <w:szCs w:val="18"/>
        </w:rPr>
        <w:t xml:space="preserve"> </w:t>
      </w:r>
      <w:r w:rsidR="00560D77" w:rsidRP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Consensus</w:t>
      </w:r>
      <w:r w:rsidR="00B41D21" w:rsidRPr="00B41D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cluster analysis of HCC</w:t>
      </w:r>
      <w:r w:rsidR="00B41D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B41D21" w:rsidRPr="00B41D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based on the expression of m6A</w:t>
      </w:r>
      <w:r w:rsidR="00B41D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B41D21" w:rsidRPr="00B41D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regulators</w:t>
      </w:r>
      <w:r w:rsidR="00B41D2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A)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560D77" w:rsidRP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The correlation between subgroups when cluster numbers k = 2.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(B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FF44B4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Area</w:t>
      </w:r>
      <w:r w:rsid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FF44B4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under cumulative distribution function (CDF) curve when index k ranges from 2 to 10.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(C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FF44B4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The relative change in area under the CDF curve for k = 2–9.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(D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FF44B4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922AA9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Heatmap </w:t>
      </w:r>
      <w:r w:rsidR="00922A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displayed enrichment of</w:t>
      </w:r>
      <w:r w:rsidR="00922AA9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29 immune signatures of these</w:t>
      </w:r>
      <w:r w:rsidR="00922A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922AA9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two clusters. </w:t>
      </w:r>
      <w:r w:rsidR="00922A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Blue</w:t>
      </w:r>
      <w:r w:rsidR="00922AA9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represents low expression and red represent high expression.</w:t>
      </w:r>
      <w:r w:rsidR="00922AA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(E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FF44B4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Heatmap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of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29 immune signatures </w:t>
      </w:r>
      <w:r w:rsidR="00FF44B4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and </w:t>
      </w:r>
      <w:r w:rsid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immune scores</w:t>
      </w:r>
      <w:r w:rsidR="00FF44B4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of these</w:t>
      </w:r>
      <w:r w:rsid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FF44B4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two clusters. </w:t>
      </w:r>
      <w:r w:rsidR="00A74DE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Blue</w:t>
      </w:r>
      <w:r w:rsidR="00FF44B4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represents low expression and red represent high expression.</w:t>
      </w:r>
      <w:r w:rsidR="00746FAE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</w:p>
    <w:p w14:paraId="5A3E3DB1" w14:textId="595AD3AC" w:rsidR="004B2870" w:rsidRDefault="00E15967" w:rsidP="00BD34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S2</w:t>
      </w: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: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746FAE" w:rsidRPr="00746F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Establishment of the prognostic risk </w:t>
      </w:r>
      <w:r w:rsidR="00746F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signature</w:t>
      </w:r>
      <w:r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A)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46FAE" w:rsidRPr="00746F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Univariate Cox regression analysis of the m6A regulators.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(B</w:t>
      </w:r>
      <w:r w:rsidR="009B141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9B1416" w:rsidRPr="009B141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The prognostic signature constructed by the minimum criterion of</w:t>
      </w:r>
      <w:r w:rsidR="009B141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9B1416" w:rsidRPr="009B141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LASSO Cox regression algorithm.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(D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9B1416" w:rsidRPr="009B141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Coefficients of </w:t>
      </w:r>
      <w:r w:rsidR="009B141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six</w:t>
      </w:r>
      <w:r w:rsidR="009B1416" w:rsidRPr="009B141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m6A regulators</w:t>
      </w:r>
      <w:r w:rsidR="009B141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. </w:t>
      </w:r>
    </w:p>
    <w:p w14:paraId="53D60AD9" w14:textId="606EDE46" w:rsidR="000F2A32" w:rsidRPr="000771AD" w:rsidRDefault="004B2870" w:rsidP="000F2A32">
      <w:pPr>
        <w:rPr>
          <w:rFonts w:ascii="Times New Roman" w:hAnsi="Times New Roman" w:cs="Times New Roman"/>
          <w:bCs/>
          <w:sz w:val="24"/>
          <w:szCs w:val="24"/>
        </w:rPr>
      </w:pP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S3: </w:t>
      </w:r>
      <w:r w:rsidR="009047C9">
        <w:rPr>
          <w:rFonts w:ascii="Times New Roman" w:hAnsi="Times New Roman" w:cs="Times New Roman"/>
          <w:bCs/>
          <w:sz w:val="24"/>
          <w:szCs w:val="24"/>
        </w:rPr>
        <w:t>C</w:t>
      </w:r>
      <w:r w:rsidR="000F2A32" w:rsidRPr="00DF7ED0">
        <w:rPr>
          <w:rFonts w:ascii="Times New Roman" w:hAnsi="Times New Roman" w:cs="Times New Roman"/>
          <w:bCs/>
          <w:sz w:val="24"/>
          <w:szCs w:val="24"/>
        </w:rPr>
        <w:t xml:space="preserve">onfirmation </w:t>
      </w:r>
      <w:r w:rsidR="000771AD">
        <w:rPr>
          <w:rFonts w:ascii="Times New Roman" w:hAnsi="Times New Roman" w:cs="Times New Roman"/>
          <w:bCs/>
          <w:sz w:val="24"/>
          <w:szCs w:val="24"/>
        </w:rPr>
        <w:t xml:space="preserve">and validation </w:t>
      </w:r>
      <w:r w:rsidR="000F2A32" w:rsidRPr="00DF7ED0">
        <w:rPr>
          <w:rFonts w:ascii="Times New Roman" w:hAnsi="Times New Roman" w:cs="Times New Roman"/>
          <w:bCs/>
          <w:sz w:val="24"/>
          <w:szCs w:val="24"/>
        </w:rPr>
        <w:t>of prognostic risk s</w:t>
      </w:r>
      <w:r w:rsidR="000F0C51">
        <w:rPr>
          <w:rFonts w:ascii="Times New Roman" w:hAnsi="Times New Roman" w:cs="Times New Roman"/>
          <w:bCs/>
          <w:sz w:val="24"/>
          <w:szCs w:val="24"/>
        </w:rPr>
        <w:t>ignature</w:t>
      </w:r>
      <w:r w:rsidR="000F2A32" w:rsidRPr="00DF7ED0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0F0C51">
        <w:rPr>
          <w:rFonts w:ascii="Times New Roman" w:hAnsi="Times New Roman" w:cs="Times New Roman"/>
          <w:bCs/>
          <w:sz w:val="24"/>
          <w:szCs w:val="24"/>
        </w:rPr>
        <w:t>TCGA</w:t>
      </w:r>
      <w:r w:rsidR="00A4162A">
        <w:rPr>
          <w:rFonts w:ascii="Times New Roman" w:hAnsi="Times New Roman" w:cs="Times New Roman"/>
          <w:bCs/>
          <w:sz w:val="24"/>
          <w:szCs w:val="24"/>
        </w:rPr>
        <w:t>(training set)</w:t>
      </w:r>
      <w:r w:rsidR="000F0C51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="000F2A32" w:rsidRPr="00DF7E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572BF">
        <w:rPr>
          <w:rFonts w:ascii="Times New Roman" w:hAnsi="Times New Roman" w:cs="Times New Roman"/>
          <w:bCs/>
          <w:sz w:val="24"/>
          <w:szCs w:val="24"/>
        </w:rPr>
        <w:t>ICGC</w:t>
      </w:r>
      <w:r w:rsidR="000F0C5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4162A">
        <w:rPr>
          <w:rFonts w:ascii="Times New Roman" w:hAnsi="Times New Roman" w:cs="Times New Roman"/>
          <w:bCs/>
          <w:sz w:val="24"/>
          <w:szCs w:val="24"/>
        </w:rPr>
        <w:t xml:space="preserve">(testing set) </w:t>
      </w:r>
      <w:r w:rsidR="000F0C51">
        <w:rPr>
          <w:rFonts w:ascii="Times New Roman" w:hAnsi="Times New Roman" w:cs="Times New Roman"/>
          <w:bCs/>
          <w:sz w:val="24"/>
          <w:szCs w:val="24"/>
        </w:rPr>
        <w:t>cohorts</w:t>
      </w:r>
      <w:r w:rsidR="000F2A32" w:rsidRPr="00DF7ED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</w:t>
      </w:r>
      <w:r w:rsidR="00755AF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B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755AF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755AFE" w:rsidRPr="00DF7ED0">
        <w:rPr>
          <w:rFonts w:ascii="Times New Roman" w:hAnsi="Times New Roman" w:cs="Times New Roman"/>
          <w:bCs/>
          <w:sz w:val="24"/>
          <w:szCs w:val="24"/>
        </w:rPr>
        <w:t xml:space="preserve">Heatmap of the </w:t>
      </w:r>
      <w:r w:rsidR="00755AFE">
        <w:rPr>
          <w:rFonts w:ascii="Times New Roman" w:hAnsi="Times New Roman" w:cs="Times New Roman"/>
          <w:bCs/>
          <w:sz w:val="24"/>
          <w:szCs w:val="24"/>
        </w:rPr>
        <w:t>six</w:t>
      </w:r>
      <w:r w:rsidR="00755AFE" w:rsidRPr="00DF7E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55AFE" w:rsidRPr="00746F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m6A regulators</w:t>
      </w:r>
      <w:r w:rsidR="00755AFE" w:rsidRPr="00DF7ED0">
        <w:rPr>
          <w:rFonts w:ascii="Times New Roman" w:hAnsi="Times New Roman" w:cs="Times New Roman"/>
          <w:bCs/>
          <w:sz w:val="24"/>
          <w:szCs w:val="24"/>
        </w:rPr>
        <w:t xml:space="preserve"> expression in HCC. The color from red to </w:t>
      </w:r>
      <w:r w:rsidR="00755AFE">
        <w:rPr>
          <w:rFonts w:ascii="Times New Roman" w:hAnsi="Times New Roman" w:cs="Times New Roman"/>
          <w:bCs/>
          <w:sz w:val="24"/>
          <w:szCs w:val="24"/>
        </w:rPr>
        <w:t>blue</w:t>
      </w:r>
      <w:r w:rsidR="00755AFE" w:rsidRPr="00DF7ED0">
        <w:rPr>
          <w:rFonts w:ascii="Times New Roman" w:hAnsi="Times New Roman" w:cs="Times New Roman"/>
          <w:bCs/>
          <w:sz w:val="24"/>
          <w:szCs w:val="24"/>
        </w:rPr>
        <w:t xml:space="preserve"> shows a trend from high expression to low expression.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(C</w:t>
      </w:r>
      <w:r w:rsidR="00755AF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D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473C1C" w:rsidRPr="00DF7ED0">
        <w:rPr>
          <w:rFonts w:ascii="Times New Roman" w:hAnsi="Times New Roman" w:cs="Times New Roman"/>
          <w:bCs/>
          <w:sz w:val="24"/>
          <w:szCs w:val="24"/>
        </w:rPr>
        <w:t xml:space="preserve">Distribution of </w:t>
      </w:r>
      <w:r w:rsidR="00473C1C" w:rsidRPr="00746F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m6A regulators</w:t>
      </w:r>
      <w:r w:rsidR="00473C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signature</w:t>
      </w:r>
      <w:r w:rsidR="00473C1C" w:rsidRPr="00DF7ED0">
        <w:rPr>
          <w:rFonts w:ascii="Times New Roman" w:hAnsi="Times New Roman" w:cs="Times New Roman"/>
          <w:bCs/>
          <w:sz w:val="24"/>
          <w:szCs w:val="24"/>
        </w:rPr>
        <w:t xml:space="preserve"> risk score.</w:t>
      </w:r>
      <w:r w:rsidR="00473C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(E</w:t>
      </w:r>
      <w:r w:rsidR="00755AF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F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473C1C" w:rsidRPr="00DF7ED0">
        <w:rPr>
          <w:rFonts w:ascii="Times New Roman" w:hAnsi="Times New Roman" w:cs="Times New Roman"/>
          <w:bCs/>
          <w:sz w:val="24"/>
          <w:szCs w:val="24"/>
        </w:rPr>
        <w:t>The survival status and duration of HCC patients.</w:t>
      </w:r>
      <w:r w:rsidR="00473C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(G</w:t>
      </w:r>
      <w:r w:rsidR="00755AF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H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473C1C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Univariate Cox regression analyses of </w:t>
      </w:r>
      <w:r w:rsidR="00473C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overall survival.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(I</w:t>
      </w:r>
      <w:r w:rsidR="00755AF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J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0F2A32" w:rsidRPr="00DF7ED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73C1C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Multivariate Cox regression</w:t>
      </w:r>
      <w:r w:rsidR="00473C1C" w:rsidRPr="00BB2F6F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="00473C1C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analyses of</w:t>
      </w:r>
      <w:r w:rsidR="00473C1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overall survival. </w:t>
      </w:r>
    </w:p>
    <w:p w14:paraId="0A0337A2" w14:textId="532BC3B2" w:rsidR="00B41D21" w:rsidRPr="00F22CA6" w:rsidRDefault="006E12F2" w:rsidP="00BD34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1D28CB">
        <w:rPr>
          <w:rFonts w:ascii="Times New Roman" w:eastAsia="宋体" w:hAnsi="Times New Roman" w:cs="Times New Roman" w:hint="eastAsia"/>
          <w:b/>
          <w:color w:val="000000"/>
          <w:kern w:val="0"/>
          <w:sz w:val="24"/>
          <w:szCs w:val="24"/>
        </w:rPr>
        <w:t>F</w:t>
      </w:r>
      <w:r w:rsidRPr="001D28CB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igure S4: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A03E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</w:t>
      </w:r>
      <w:r w:rsidR="000771AD" w:rsidRP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onfirmation of </w:t>
      </w:r>
      <w:r w:rsidR="00A03E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m6A regulators </w:t>
      </w:r>
      <w:r w:rsidR="000771AD" w:rsidRP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prognostic risk scores in the </w:t>
      </w:r>
      <w:r w:rsidR="00D23AC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combined</w:t>
      </w:r>
      <w:r w:rsidR="000771AD" w:rsidRP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validation group</w:t>
      </w:r>
      <w:r w:rsidR="001257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(TCGA and ICGC)</w:t>
      </w:r>
      <w:r w:rsidR="000771AD" w:rsidRP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</w:t>
      </w:r>
      <w:r w:rsidR="000771AD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</w:t>
      </w:r>
      <w:r w:rsidR="00D23AC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-</w:t>
      </w:r>
      <w:r w:rsid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D</w:t>
      </w:r>
      <w:r w:rsidR="000771AD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D23AC5">
        <w:rPr>
          <w:rFonts w:ascii="Times New Roman" w:hAnsi="Times New Roman" w:cs="Times New Roman"/>
          <w:bCs/>
          <w:kern w:val="0"/>
          <w:sz w:val="24"/>
          <w:szCs w:val="24"/>
        </w:rPr>
        <w:t xml:space="preserve">presents </w:t>
      </w:r>
      <w:r w:rsidR="00D23AC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combined</w:t>
      </w:r>
      <w:r w:rsidR="00D23AC5">
        <w:rPr>
          <w:rFonts w:ascii="Times New Roman" w:hAnsi="Times New Roman" w:cs="Times New Roman"/>
          <w:bCs/>
          <w:kern w:val="0"/>
          <w:sz w:val="24"/>
          <w:szCs w:val="24"/>
        </w:rPr>
        <w:t xml:space="preserve"> cohort findings which are accordant with the </w:t>
      </w:r>
      <w:r w:rsidR="00A62614">
        <w:rPr>
          <w:rFonts w:ascii="Times New Roman" w:hAnsi="Times New Roman" w:cs="Times New Roman"/>
          <w:bCs/>
          <w:kern w:val="0"/>
          <w:sz w:val="24"/>
          <w:szCs w:val="24"/>
        </w:rPr>
        <w:t>previous</w:t>
      </w:r>
      <w:r w:rsidR="00D23AC5">
        <w:rPr>
          <w:rFonts w:ascii="Times New Roman" w:hAnsi="Times New Roman" w:cs="Times New Roman"/>
          <w:bCs/>
          <w:kern w:val="0"/>
          <w:sz w:val="24"/>
          <w:szCs w:val="24"/>
        </w:rPr>
        <w:t xml:space="preserve"> set results (Figure </w:t>
      </w:r>
      <w:r w:rsidR="00A62614">
        <w:rPr>
          <w:rFonts w:ascii="Times New Roman" w:hAnsi="Times New Roman" w:cs="Times New Roman"/>
          <w:bCs/>
          <w:kern w:val="0"/>
          <w:sz w:val="24"/>
          <w:szCs w:val="24"/>
        </w:rPr>
        <w:t>S</w:t>
      </w:r>
      <w:r w:rsidR="00D23AC5">
        <w:rPr>
          <w:rFonts w:ascii="Times New Roman" w:hAnsi="Times New Roman" w:cs="Times New Roman"/>
          <w:bCs/>
          <w:kern w:val="0"/>
          <w:sz w:val="24"/>
          <w:szCs w:val="24"/>
        </w:rPr>
        <w:t>3)</w:t>
      </w:r>
      <w:r w:rsidR="003123A6">
        <w:rPr>
          <w:rFonts w:ascii="Times New Roman" w:hAnsi="Times New Roman" w:cs="Times New Roman"/>
          <w:bCs/>
          <w:kern w:val="0"/>
          <w:sz w:val="24"/>
          <w:szCs w:val="24"/>
        </w:rPr>
        <w:t>.</w:t>
      </w:r>
      <w:r w:rsidR="00D23AC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(E</w:t>
      </w:r>
      <w:r w:rsidR="000771AD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A62614">
        <w:rPr>
          <w:rFonts w:ascii="Times New Roman" w:hAnsi="Times New Roman" w:cs="Times New Roman"/>
          <w:bCs/>
          <w:kern w:val="0"/>
          <w:sz w:val="24"/>
          <w:szCs w:val="24"/>
        </w:rPr>
        <w:t xml:space="preserve">Univariate Cox proportional hazards analyses of survival in the </w:t>
      </w:r>
      <w:r w:rsidR="00A6261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combined</w:t>
      </w:r>
      <w:r w:rsidR="00A62614">
        <w:rPr>
          <w:rFonts w:ascii="Times New Roman" w:hAnsi="Times New Roman" w:cs="Times New Roman"/>
          <w:bCs/>
          <w:kern w:val="0"/>
          <w:sz w:val="24"/>
          <w:szCs w:val="24"/>
        </w:rPr>
        <w:t xml:space="preserve"> set.</w:t>
      </w:r>
      <w:r w:rsidR="00A6261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(F</w:t>
      </w:r>
      <w:r w:rsidR="000771AD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A62614" w:rsidRPr="00A62614">
        <w:rPr>
          <w:rFonts w:ascii="Times New Roman" w:hAnsi="Times New Roman" w:cs="Times New Roman"/>
          <w:bCs/>
          <w:kern w:val="0"/>
          <w:sz w:val="24"/>
          <w:szCs w:val="24"/>
        </w:rPr>
        <w:t>Multivariate</w:t>
      </w:r>
      <w:r w:rsidR="00A62614">
        <w:rPr>
          <w:rFonts w:ascii="Times New Roman" w:hAnsi="Times New Roman" w:cs="Times New Roman"/>
          <w:bCs/>
          <w:kern w:val="0"/>
          <w:sz w:val="24"/>
          <w:szCs w:val="24"/>
        </w:rPr>
        <w:t xml:space="preserve"> Cox proportional hazards analyses of survival in the </w:t>
      </w:r>
      <w:r w:rsidR="00A6261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combined</w:t>
      </w:r>
      <w:r w:rsidR="00A62614">
        <w:rPr>
          <w:rFonts w:ascii="Times New Roman" w:hAnsi="Times New Roman" w:cs="Times New Roman"/>
          <w:bCs/>
          <w:kern w:val="0"/>
          <w:sz w:val="24"/>
          <w:szCs w:val="24"/>
        </w:rPr>
        <w:t xml:space="preserve"> set.</w:t>
      </w:r>
      <w:r w:rsidR="00A6261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0771AD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(G</w:t>
      </w:r>
      <w:r w:rsidR="000771AD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A62614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DF7ED0">
        <w:rPr>
          <w:rFonts w:ascii="Times New Roman" w:hAnsi="Times New Roman" w:cs="Times New Roman"/>
          <w:bCs/>
          <w:sz w:val="24"/>
          <w:szCs w:val="24"/>
        </w:rPr>
        <w:t>GSEA delineation of the biological pathways associated with the risk scores of this lncRNA signature utilizing the gene set</w:t>
      </w:r>
      <w:r w:rsidR="00AA754A">
        <w:rPr>
          <w:rFonts w:ascii="Times New Roman" w:hAnsi="Times New Roman" w:cs="Times New Roman"/>
          <w:bCs/>
          <w:sz w:val="24"/>
          <w:szCs w:val="24"/>
        </w:rPr>
        <w:t xml:space="preserve"> “</w:t>
      </w:r>
      <w:r w:rsidRPr="00DF7ED0">
        <w:rPr>
          <w:rFonts w:ascii="Times New Roman" w:hAnsi="Times New Roman" w:cs="Times New Roman"/>
          <w:bCs/>
          <w:sz w:val="24"/>
          <w:szCs w:val="24"/>
        </w:rPr>
        <w:t>c2.cp.kegg.v7.2.symbols</w:t>
      </w:r>
      <w:r w:rsidR="00AA754A">
        <w:rPr>
          <w:rFonts w:ascii="Times New Roman" w:hAnsi="Times New Roman" w:cs="Times New Roman"/>
          <w:bCs/>
          <w:sz w:val="24"/>
          <w:szCs w:val="24"/>
        </w:rPr>
        <w:t>”</w:t>
      </w:r>
      <w:r w:rsidRPr="00DF7ED0">
        <w:rPr>
          <w:rFonts w:ascii="Times New Roman" w:hAnsi="Times New Roman" w:cs="Times New Roman"/>
          <w:bCs/>
          <w:sz w:val="24"/>
          <w:szCs w:val="24"/>
        </w:rPr>
        <w:t>.</w:t>
      </w:r>
    </w:p>
    <w:p w14:paraId="71CE413C" w14:textId="2B5DC8EB" w:rsidR="00B41D21" w:rsidRDefault="00B41D21" w:rsidP="00BD34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S5</w:t>
      </w: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:</w:t>
      </w:r>
      <w:r w:rsidR="00560D7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3E53A2">
        <w:rPr>
          <w:rFonts w:ascii="Times New Roman" w:hAnsi="Times New Roman" w:cs="Times New Roman"/>
          <w:bCs/>
          <w:kern w:val="0"/>
          <w:sz w:val="24"/>
          <w:szCs w:val="24"/>
        </w:rPr>
        <w:t>Correlation of prognostic risk score with immune-related signatures of HCC</w:t>
      </w:r>
      <w:r w:rsidR="003E53A2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Heatmap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displayed enrichment of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29 immune signatures of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low-/high-risk groups</w:t>
      </w:r>
      <w:r w:rsidR="006A15C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6A15C5">
        <w:rPr>
          <w:rFonts w:ascii="Times New Roman" w:hAnsi="Times New Roman" w:cs="Times New Roman"/>
          <w:bCs/>
          <w:kern w:val="0"/>
          <w:sz w:val="24"/>
          <w:szCs w:val="24"/>
        </w:rPr>
        <w:t>in TCGA cohort(A) and ICGC cohort(B)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Blue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represents low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activity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red represent high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activity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Heatmap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of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29 immune signatures and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immune scores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of two </w:t>
      </w:r>
      <w:r w:rsidR="00C84FF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different risk score 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clusters</w:t>
      </w:r>
      <w:r w:rsidR="006A15C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6A15C5">
        <w:rPr>
          <w:rFonts w:ascii="Times New Roman" w:hAnsi="Times New Roman" w:cs="Times New Roman"/>
          <w:bCs/>
          <w:kern w:val="0"/>
          <w:sz w:val="24"/>
          <w:szCs w:val="24"/>
        </w:rPr>
        <w:t>in TCGA cohort(C) and ICGC cohort(D)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Blue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represents low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activity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red represent high 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activity</w:t>
      </w:r>
      <w:r w:rsidR="00032EA8" w:rsidRPr="00FF44B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  <w:r w:rsidR="00032EA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(E</w:t>
      </w:r>
      <w:r w:rsidR="00032EA8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-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F</w:t>
      </w:r>
      <w:r w:rsidR="00560D77" w:rsidRPr="00BB2F6F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</w:t>
      </w:r>
      <w:r w:rsidR="00560D7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81141D">
        <w:rPr>
          <w:rFonts w:ascii="Times New Roman" w:hAnsi="Times New Roman" w:cs="Times New Roman"/>
          <w:bCs/>
          <w:kern w:val="0"/>
          <w:sz w:val="24"/>
          <w:szCs w:val="24"/>
        </w:rPr>
        <w:t xml:space="preserve">Comparison of the immune score (ESTIMATE algorithm) between risk score low/high groups in TCGA cohort(E) and ICGC cohort(F). </w:t>
      </w:r>
    </w:p>
    <w:p w14:paraId="7C4276FF" w14:textId="7E0D7DD8" w:rsidR="00B41D21" w:rsidRDefault="00B41D21" w:rsidP="00EF4735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S6</w:t>
      </w:r>
      <w:r w:rsidRPr="00FF40A9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:</w:t>
      </w:r>
      <w:r w:rsidR="00560D77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Kaplan–Meier survival analysis for </w:t>
      </w:r>
      <w:r w:rsidR="00EF4735" w:rsidRP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multiple 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HCC </w:t>
      </w:r>
      <w:r w:rsidR="00EF4735" w:rsidRP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subgroups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according to the 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m6A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‐based 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risk 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signature stratified by clinical </w:t>
      </w:r>
      <w:r w:rsid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variable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s. (</w:t>
      </w:r>
      <w:r w:rsid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A-B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Sta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ge. (</w:t>
      </w:r>
      <w:r w:rsid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C-D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) T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status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 (</w:t>
      </w:r>
      <w:r w:rsid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E-F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Gender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 (</w:t>
      </w:r>
      <w:r w:rsid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G-H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r w:rsidR="00EF4735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Tumor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grade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 (</w:t>
      </w:r>
      <w:r w:rsid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I-J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Ag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e. (</w:t>
      </w:r>
      <w:r w:rsid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K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N status</w:t>
      </w:r>
      <w:r w:rsidR="000D19C7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  <w:r w:rsid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EF4735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(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L</w:t>
      </w:r>
      <w:r w:rsidR="00EF4735" w:rsidRPr="000D19C7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) </w:t>
      </w:r>
      <w:r w:rsidR="00EF4735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M status</w:t>
      </w:r>
      <w:r w:rsidR="00BC06C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76BC628A" w14:textId="77777777" w:rsidR="00DE1232" w:rsidRPr="00DE1232" w:rsidRDefault="00DE1232" w:rsidP="00D17F4E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</w:p>
    <w:p w14:paraId="3364E9ED" w14:textId="77777777" w:rsidR="00D17F4E" w:rsidRPr="00D17F4E" w:rsidRDefault="00D17F4E" w:rsidP="00BD34AB">
      <w:pPr>
        <w:autoSpaceDE w:val="0"/>
        <w:autoSpaceDN w:val="0"/>
        <w:adjustRightInd w:val="0"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</w:p>
    <w:sectPr w:rsidR="00D17F4E" w:rsidRPr="00D17F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E349F4" w14:textId="77777777" w:rsidR="00990A4E" w:rsidRDefault="00990A4E" w:rsidP="00FF40A9">
      <w:r>
        <w:separator/>
      </w:r>
    </w:p>
  </w:endnote>
  <w:endnote w:type="continuationSeparator" w:id="0">
    <w:p w14:paraId="600E8B8A" w14:textId="77777777" w:rsidR="00990A4E" w:rsidRDefault="00990A4E" w:rsidP="00FF4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jffrpMinionPro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4BC341" w14:textId="77777777" w:rsidR="00990A4E" w:rsidRDefault="00990A4E" w:rsidP="00FF40A9">
      <w:r>
        <w:separator/>
      </w:r>
    </w:p>
  </w:footnote>
  <w:footnote w:type="continuationSeparator" w:id="0">
    <w:p w14:paraId="1DDC1FAD" w14:textId="77777777" w:rsidR="00990A4E" w:rsidRDefault="00990A4E" w:rsidP="00FF40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01B"/>
    <w:rsid w:val="00032EA8"/>
    <w:rsid w:val="00055B8E"/>
    <w:rsid w:val="0007678B"/>
    <w:rsid w:val="000771AD"/>
    <w:rsid w:val="000D19C7"/>
    <w:rsid w:val="000F0C51"/>
    <w:rsid w:val="000F2A32"/>
    <w:rsid w:val="00125777"/>
    <w:rsid w:val="001D28CB"/>
    <w:rsid w:val="003123A6"/>
    <w:rsid w:val="003E53A2"/>
    <w:rsid w:val="00444526"/>
    <w:rsid w:val="00473C1C"/>
    <w:rsid w:val="004A1BA0"/>
    <w:rsid w:val="004B09BC"/>
    <w:rsid w:val="004B2870"/>
    <w:rsid w:val="00560D77"/>
    <w:rsid w:val="00607842"/>
    <w:rsid w:val="00670F2A"/>
    <w:rsid w:val="006A15C5"/>
    <w:rsid w:val="006E12F2"/>
    <w:rsid w:val="00746FAE"/>
    <w:rsid w:val="00755AFE"/>
    <w:rsid w:val="007572BF"/>
    <w:rsid w:val="00784FC7"/>
    <w:rsid w:val="0081141D"/>
    <w:rsid w:val="0084079B"/>
    <w:rsid w:val="00853B18"/>
    <w:rsid w:val="008C2F05"/>
    <w:rsid w:val="009047C9"/>
    <w:rsid w:val="00922AA9"/>
    <w:rsid w:val="0097101B"/>
    <w:rsid w:val="00990A4E"/>
    <w:rsid w:val="009B1416"/>
    <w:rsid w:val="00A03EE9"/>
    <w:rsid w:val="00A4162A"/>
    <w:rsid w:val="00A62614"/>
    <w:rsid w:val="00A74DE7"/>
    <w:rsid w:val="00AA754A"/>
    <w:rsid w:val="00B41D21"/>
    <w:rsid w:val="00BB2F6F"/>
    <w:rsid w:val="00BC06C9"/>
    <w:rsid w:val="00BD34AB"/>
    <w:rsid w:val="00C84FFE"/>
    <w:rsid w:val="00C93716"/>
    <w:rsid w:val="00D17F4E"/>
    <w:rsid w:val="00D23AC5"/>
    <w:rsid w:val="00DE1232"/>
    <w:rsid w:val="00E15967"/>
    <w:rsid w:val="00E33B44"/>
    <w:rsid w:val="00EF4735"/>
    <w:rsid w:val="00F22CA6"/>
    <w:rsid w:val="00FF40A9"/>
    <w:rsid w:val="00FF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4F2CC2"/>
  <w15:chartTrackingRefBased/>
  <w15:docId w15:val="{C06FC181-32DC-4049-B80E-88FC5FBD8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40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40A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40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40A9"/>
    <w:rPr>
      <w:sz w:val="18"/>
      <w:szCs w:val="18"/>
    </w:rPr>
  </w:style>
  <w:style w:type="paragraph" w:styleId="a7">
    <w:name w:val="List Paragraph"/>
    <w:basedOn w:val="a"/>
    <w:uiPriority w:val="34"/>
    <w:qFormat/>
    <w:rsid w:val="00DE123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413</Words>
  <Characters>2359</Characters>
  <Application>Microsoft Office Word</Application>
  <DocSecurity>0</DocSecurity>
  <Lines>19</Lines>
  <Paragraphs>5</Paragraphs>
  <ScaleCrop>false</ScaleCrop>
  <Company/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2282763919@qq.com</dc:creator>
  <cp:keywords/>
  <dc:description/>
  <cp:lastModifiedBy>2282763919@qq.com</cp:lastModifiedBy>
  <cp:revision>46</cp:revision>
  <dcterms:created xsi:type="dcterms:W3CDTF">2019-05-13T11:25:00Z</dcterms:created>
  <dcterms:modified xsi:type="dcterms:W3CDTF">2020-12-13T17:26:00Z</dcterms:modified>
</cp:coreProperties>
</file>