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C64" w:rsidRPr="006342E7" w:rsidRDefault="000E5FD4" w:rsidP="00A52C64">
      <w:pPr>
        <w:rPr>
          <w:rFonts w:hint="eastAsia"/>
          <w:sz w:val="24"/>
        </w:rPr>
      </w:pPr>
      <w:r w:rsidRPr="00200157">
        <w:rPr>
          <w:rFonts w:hint="eastAsia"/>
          <w:b/>
          <w:bCs/>
          <w:sz w:val="24"/>
        </w:rPr>
        <w:t>T</w:t>
      </w:r>
      <w:r w:rsidRPr="00200157">
        <w:rPr>
          <w:b/>
          <w:bCs/>
          <w:sz w:val="24"/>
        </w:rPr>
        <w:t xml:space="preserve">able S1. </w:t>
      </w:r>
      <w:r w:rsidRPr="00200157">
        <w:rPr>
          <w:b/>
          <w:bCs/>
          <w:sz w:val="24"/>
        </w:rPr>
        <w:t>Illustration of the samples used for 16S sequ</w:t>
      </w:r>
      <w:r w:rsidRPr="00200157">
        <w:rPr>
          <w:b/>
          <w:bCs/>
          <w:sz w:val="24"/>
        </w:rPr>
        <w:t>en</w:t>
      </w:r>
      <w:r w:rsidRPr="00200157">
        <w:rPr>
          <w:b/>
          <w:bCs/>
          <w:sz w:val="24"/>
        </w:rPr>
        <w:t>cing</w:t>
      </w:r>
      <w:r w:rsidRPr="00200157">
        <w:rPr>
          <w:b/>
          <w:bCs/>
          <w:sz w:val="24"/>
        </w:rPr>
        <w:t>.</w:t>
      </w:r>
      <w:r w:rsidR="00200157" w:rsidRPr="00200157">
        <w:rPr>
          <w:b/>
          <w:bCs/>
          <w:sz w:val="24"/>
        </w:rPr>
        <w:t xml:space="preserve"> </w:t>
      </w:r>
      <w:r w:rsidR="00200157" w:rsidRPr="00200157">
        <w:rPr>
          <w:sz w:val="24"/>
        </w:rPr>
        <w:t xml:space="preserve">In PCL, LP, and BD group, </w:t>
      </w:r>
      <w:r w:rsidR="0098685E">
        <w:rPr>
          <w:sz w:val="24"/>
        </w:rPr>
        <w:t xml:space="preserve">feces </w:t>
      </w:r>
      <w:r w:rsidR="0098685E" w:rsidRPr="00200157">
        <w:rPr>
          <w:sz w:val="24"/>
        </w:rPr>
        <w:t>samples</w:t>
      </w:r>
      <w:r w:rsidR="0098685E" w:rsidRPr="00200157">
        <w:rPr>
          <w:sz w:val="24"/>
        </w:rPr>
        <w:t xml:space="preserve"> </w:t>
      </w:r>
      <w:r w:rsidR="0098685E">
        <w:rPr>
          <w:sz w:val="24"/>
        </w:rPr>
        <w:t>in control</w:t>
      </w:r>
      <w:r w:rsidR="006342E7">
        <w:rPr>
          <w:sz w:val="24"/>
        </w:rPr>
        <w:t xml:space="preserve"> (Con)</w:t>
      </w:r>
      <w:r w:rsidR="0098685E">
        <w:rPr>
          <w:sz w:val="24"/>
        </w:rPr>
        <w:t xml:space="preserve"> and infected </w:t>
      </w:r>
      <w:r w:rsidR="00862A0B">
        <w:rPr>
          <w:sz w:val="24"/>
        </w:rPr>
        <w:t xml:space="preserve">(Inf) </w:t>
      </w:r>
      <w:bookmarkStart w:id="0" w:name="_GoBack"/>
      <w:bookmarkEnd w:id="0"/>
      <w:r w:rsidR="0098685E">
        <w:rPr>
          <w:sz w:val="24"/>
        </w:rPr>
        <w:t xml:space="preserve">group were mixed separately, and then </w:t>
      </w:r>
      <w:r w:rsidR="00200157" w:rsidRPr="00200157">
        <w:rPr>
          <w:sz w:val="24"/>
        </w:rPr>
        <w:t>three in control group and 5 in infected group were collected in each gut section (Ru, Du, Je, Co, and Re) for 16S sequencing, respectively.</w:t>
      </w:r>
      <w:r w:rsidR="006342E7">
        <w:rPr>
          <w:sz w:val="24"/>
        </w:rPr>
        <w:t xml:space="preserve"> Totally, 120 samples were collected.</w:t>
      </w:r>
    </w:p>
    <w:tbl>
      <w:tblPr>
        <w:tblStyle w:val="6"/>
        <w:tblW w:w="8500" w:type="dxa"/>
        <w:tblLook w:val="0600" w:firstRow="0" w:lastRow="0" w:firstColumn="0" w:lastColumn="0" w:noHBand="1" w:noVBand="1"/>
      </w:tblPr>
      <w:tblGrid>
        <w:gridCol w:w="1838"/>
        <w:gridCol w:w="2268"/>
        <w:gridCol w:w="1843"/>
        <w:gridCol w:w="2551"/>
      </w:tblGrid>
      <w:tr w:rsidR="000E5FD4" w:rsidTr="000C3837">
        <w:tc>
          <w:tcPr>
            <w:tcW w:w="1838" w:type="dxa"/>
            <w:tcBorders>
              <w:bottom w:val="single" w:sz="4" w:space="0" w:color="auto"/>
            </w:tcBorders>
          </w:tcPr>
          <w:p w:rsidR="00A52C64" w:rsidRPr="0098685E" w:rsidRDefault="0098685E" w:rsidP="00D213B9">
            <w:pPr>
              <w:rPr>
                <w:b/>
                <w:bCs/>
                <w:sz w:val="24"/>
              </w:rPr>
            </w:pPr>
            <w:r w:rsidRPr="0098685E">
              <w:rPr>
                <w:rFonts w:hint="eastAsia"/>
                <w:b/>
                <w:bCs/>
                <w:sz w:val="24"/>
              </w:rPr>
              <w:t>G</w:t>
            </w:r>
            <w:r w:rsidRPr="0098685E">
              <w:rPr>
                <w:b/>
                <w:bCs/>
                <w:sz w:val="24"/>
              </w:rPr>
              <w:t>ut section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52C64" w:rsidRPr="000C3837" w:rsidRDefault="000E5FD4" w:rsidP="003341DE">
            <w:pPr>
              <w:jc w:val="center"/>
              <w:rPr>
                <w:color w:val="auto"/>
                <w:sz w:val="24"/>
              </w:rPr>
            </w:pPr>
            <w:r w:rsidRPr="000C3837">
              <w:rPr>
                <w:b/>
                <w:bCs/>
                <w:color w:val="auto"/>
                <w:sz w:val="24"/>
              </w:rPr>
              <w:t xml:space="preserve">PCL group </w:t>
            </w:r>
            <w:r w:rsidRPr="000C3837">
              <w:rPr>
                <w:color w:val="auto"/>
                <w:sz w:val="24"/>
              </w:rPr>
              <w:t>(</w:t>
            </w:r>
            <w:r w:rsidRPr="000C3837">
              <w:rPr>
                <w:color w:val="auto"/>
                <w:sz w:val="24"/>
              </w:rPr>
              <w:t>migrat</w:t>
            </w:r>
            <w:r w:rsidRPr="000C3837">
              <w:rPr>
                <w:color w:val="auto"/>
                <w:sz w:val="24"/>
              </w:rPr>
              <w:t xml:space="preserve">ing </w:t>
            </w:r>
            <w:r w:rsidRPr="000C3837">
              <w:rPr>
                <w:color w:val="auto"/>
                <w:sz w:val="24"/>
              </w:rPr>
              <w:t>peritoneal cavity to liver surface</w:t>
            </w:r>
            <w:r w:rsidRPr="000C3837">
              <w:rPr>
                <w:color w:val="auto"/>
                <w:sz w:val="24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341DE" w:rsidRPr="000C3837" w:rsidRDefault="000E5FD4" w:rsidP="003341DE">
            <w:pPr>
              <w:jc w:val="center"/>
              <w:rPr>
                <w:b/>
                <w:bCs/>
                <w:color w:val="auto"/>
                <w:sz w:val="24"/>
              </w:rPr>
            </w:pPr>
            <w:r w:rsidRPr="000C3837">
              <w:rPr>
                <w:b/>
                <w:bCs/>
                <w:color w:val="auto"/>
                <w:sz w:val="24"/>
              </w:rPr>
              <w:t>LP group</w:t>
            </w:r>
          </w:p>
          <w:p w:rsidR="00A52C64" w:rsidRPr="000C3837" w:rsidRDefault="000E5FD4" w:rsidP="003341DE">
            <w:pPr>
              <w:jc w:val="center"/>
              <w:rPr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(</w:t>
            </w:r>
            <w:r w:rsidRPr="000C3837">
              <w:rPr>
                <w:color w:val="auto"/>
                <w:sz w:val="24"/>
              </w:rPr>
              <w:t>liv</w:t>
            </w:r>
            <w:r w:rsidRPr="000C3837">
              <w:rPr>
                <w:color w:val="auto"/>
                <w:sz w:val="24"/>
              </w:rPr>
              <w:t>ing</w:t>
            </w:r>
            <w:r w:rsidRPr="000C3837">
              <w:rPr>
                <w:color w:val="auto"/>
                <w:sz w:val="24"/>
              </w:rPr>
              <w:t xml:space="preserve"> in liver parenchyma</w:t>
            </w:r>
            <w:r w:rsidRPr="000C3837">
              <w:rPr>
                <w:color w:val="auto"/>
                <w:sz w:val="24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3341DE" w:rsidRPr="000C3837" w:rsidRDefault="000E5FD4" w:rsidP="003341DE">
            <w:pPr>
              <w:jc w:val="center"/>
              <w:rPr>
                <w:b/>
                <w:bCs/>
                <w:color w:val="auto"/>
                <w:sz w:val="24"/>
              </w:rPr>
            </w:pPr>
            <w:r w:rsidRPr="000C3837">
              <w:rPr>
                <w:b/>
                <w:bCs/>
                <w:color w:val="auto"/>
                <w:sz w:val="24"/>
              </w:rPr>
              <w:t>BD group</w:t>
            </w:r>
          </w:p>
          <w:p w:rsidR="00A52C64" w:rsidRPr="000C3837" w:rsidRDefault="000E5FD4" w:rsidP="003341DE">
            <w:pPr>
              <w:jc w:val="center"/>
              <w:rPr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 xml:space="preserve">(living in </w:t>
            </w:r>
            <w:r w:rsidRPr="000C3837">
              <w:rPr>
                <w:color w:val="auto"/>
                <w:sz w:val="24"/>
              </w:rPr>
              <w:t>bile duct</w:t>
            </w:r>
            <w:r w:rsidRPr="000C3837">
              <w:rPr>
                <w:color w:val="auto"/>
                <w:sz w:val="24"/>
              </w:rPr>
              <w:t xml:space="preserve"> and liver)</w:t>
            </w:r>
          </w:p>
        </w:tc>
      </w:tr>
      <w:tr w:rsidR="003341DE" w:rsidTr="000C3837">
        <w:tc>
          <w:tcPr>
            <w:tcW w:w="1838" w:type="dxa"/>
            <w:tcBorders>
              <w:top w:val="single" w:sz="4" w:space="0" w:color="auto"/>
            </w:tcBorders>
          </w:tcPr>
          <w:p w:rsidR="003341DE" w:rsidRPr="000C3837" w:rsidRDefault="003341DE" w:rsidP="00D213B9">
            <w:pPr>
              <w:rPr>
                <w:sz w:val="24"/>
              </w:rPr>
            </w:pPr>
            <w:r w:rsidRPr="000C3837">
              <w:rPr>
                <w:color w:val="231F20"/>
                <w:sz w:val="24"/>
              </w:rPr>
              <w:t>R</w:t>
            </w:r>
            <w:r w:rsidRPr="000C3837">
              <w:rPr>
                <w:color w:val="231F20"/>
                <w:sz w:val="24"/>
              </w:rPr>
              <w:t>umen (Ru)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</w:tr>
      <w:tr w:rsidR="003341DE" w:rsidTr="000C3837">
        <w:tc>
          <w:tcPr>
            <w:tcW w:w="1838" w:type="dxa"/>
          </w:tcPr>
          <w:p w:rsidR="003341DE" w:rsidRPr="000C3837" w:rsidRDefault="003341DE" w:rsidP="00D213B9">
            <w:pPr>
              <w:rPr>
                <w:sz w:val="24"/>
              </w:rPr>
            </w:pPr>
            <w:r w:rsidRPr="000C3837">
              <w:rPr>
                <w:color w:val="231F20"/>
                <w:sz w:val="24"/>
              </w:rPr>
              <w:t>D</w:t>
            </w:r>
            <w:r w:rsidRPr="000C3837">
              <w:rPr>
                <w:color w:val="231F20"/>
                <w:sz w:val="24"/>
              </w:rPr>
              <w:t>uodenum (Du)</w:t>
            </w:r>
          </w:p>
        </w:tc>
        <w:tc>
          <w:tcPr>
            <w:tcW w:w="2268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1843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2551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</w:tr>
      <w:tr w:rsidR="003341DE" w:rsidTr="000C3837">
        <w:tc>
          <w:tcPr>
            <w:tcW w:w="1838" w:type="dxa"/>
          </w:tcPr>
          <w:p w:rsidR="003341DE" w:rsidRPr="000C3837" w:rsidRDefault="003341DE" w:rsidP="00D213B9">
            <w:pPr>
              <w:rPr>
                <w:sz w:val="24"/>
              </w:rPr>
            </w:pPr>
            <w:r w:rsidRPr="000C3837">
              <w:rPr>
                <w:color w:val="231F20"/>
                <w:sz w:val="24"/>
              </w:rPr>
              <w:t>J</w:t>
            </w:r>
            <w:r w:rsidRPr="000C3837">
              <w:rPr>
                <w:color w:val="231F20"/>
                <w:sz w:val="24"/>
              </w:rPr>
              <w:t>ejunum (Je)</w:t>
            </w:r>
          </w:p>
        </w:tc>
        <w:tc>
          <w:tcPr>
            <w:tcW w:w="2268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1843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2551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</w:tr>
      <w:tr w:rsidR="003341DE" w:rsidTr="000C3837">
        <w:tc>
          <w:tcPr>
            <w:tcW w:w="1838" w:type="dxa"/>
          </w:tcPr>
          <w:p w:rsidR="003341DE" w:rsidRPr="000C3837" w:rsidRDefault="003341DE" w:rsidP="00D213B9">
            <w:pPr>
              <w:tabs>
                <w:tab w:val="left" w:pos="675"/>
              </w:tabs>
              <w:rPr>
                <w:sz w:val="24"/>
              </w:rPr>
            </w:pPr>
            <w:r w:rsidRPr="000C3837">
              <w:rPr>
                <w:color w:val="231F20"/>
                <w:sz w:val="24"/>
              </w:rPr>
              <w:t>C</w:t>
            </w:r>
            <w:r w:rsidRPr="000C3837">
              <w:rPr>
                <w:color w:val="231F20"/>
                <w:sz w:val="24"/>
              </w:rPr>
              <w:t>olon (Co)</w:t>
            </w:r>
          </w:p>
        </w:tc>
        <w:tc>
          <w:tcPr>
            <w:tcW w:w="2268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1843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2551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</w:tr>
      <w:tr w:rsidR="003341DE" w:rsidTr="000C3837">
        <w:tc>
          <w:tcPr>
            <w:tcW w:w="1838" w:type="dxa"/>
          </w:tcPr>
          <w:p w:rsidR="003341DE" w:rsidRPr="000C3837" w:rsidRDefault="003341DE" w:rsidP="00D213B9">
            <w:pPr>
              <w:tabs>
                <w:tab w:val="left" w:pos="675"/>
              </w:tabs>
              <w:rPr>
                <w:sz w:val="24"/>
              </w:rPr>
            </w:pPr>
            <w:r w:rsidRPr="000C3837">
              <w:rPr>
                <w:color w:val="231F20"/>
                <w:sz w:val="24"/>
              </w:rPr>
              <w:t>R</w:t>
            </w:r>
            <w:r w:rsidRPr="000C3837">
              <w:rPr>
                <w:color w:val="231F20"/>
                <w:sz w:val="24"/>
              </w:rPr>
              <w:t>ectum (Re)</w:t>
            </w:r>
          </w:p>
        </w:tc>
        <w:tc>
          <w:tcPr>
            <w:tcW w:w="2268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1843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  <w:tc>
          <w:tcPr>
            <w:tcW w:w="2551" w:type="dxa"/>
          </w:tcPr>
          <w:p w:rsidR="003341DE" w:rsidRPr="000C3837" w:rsidRDefault="003341DE" w:rsidP="000C3837">
            <w:pPr>
              <w:jc w:val="center"/>
              <w:rPr>
                <w:rFonts w:hint="eastAsia"/>
                <w:color w:val="auto"/>
                <w:sz w:val="24"/>
              </w:rPr>
            </w:pPr>
            <w:r w:rsidRPr="000C3837">
              <w:rPr>
                <w:color w:val="auto"/>
                <w:sz w:val="24"/>
              </w:rPr>
              <w:t>Con 3</w:t>
            </w:r>
            <w:r w:rsidRPr="000C3837">
              <w:rPr>
                <w:rFonts w:hint="eastAsia"/>
                <w:color w:val="auto"/>
                <w:sz w:val="24"/>
              </w:rPr>
              <w:t>,</w:t>
            </w:r>
            <w:r w:rsidRPr="000C3837">
              <w:rPr>
                <w:color w:val="auto"/>
                <w:sz w:val="24"/>
              </w:rPr>
              <w:t xml:space="preserve"> Inf 5</w:t>
            </w:r>
          </w:p>
        </w:tc>
      </w:tr>
    </w:tbl>
    <w:p w:rsidR="00A52C64" w:rsidRDefault="00A52C64" w:rsidP="00A52C64">
      <w:pPr>
        <w:rPr>
          <w:rFonts w:hint="eastAsia"/>
        </w:rPr>
      </w:pPr>
    </w:p>
    <w:p w:rsidR="00B3682F" w:rsidRDefault="00B3682F" w:rsidP="000E5FD4">
      <w:pPr>
        <w:ind w:firstLineChars="200" w:firstLine="420"/>
      </w:pPr>
    </w:p>
    <w:sectPr w:rsidR="00B368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3423" w:rsidRDefault="00623423" w:rsidP="000C3837">
      <w:r>
        <w:separator/>
      </w:r>
    </w:p>
  </w:endnote>
  <w:endnote w:type="continuationSeparator" w:id="0">
    <w:p w:rsidR="00623423" w:rsidRDefault="00623423" w:rsidP="000C3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3423" w:rsidRDefault="00623423" w:rsidP="000C3837">
      <w:r>
        <w:separator/>
      </w:r>
    </w:p>
  </w:footnote>
  <w:footnote w:type="continuationSeparator" w:id="0">
    <w:p w:rsidR="00623423" w:rsidRDefault="00623423" w:rsidP="000C3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C64"/>
    <w:rsid w:val="000A16CE"/>
    <w:rsid w:val="000C3837"/>
    <w:rsid w:val="000E5FD4"/>
    <w:rsid w:val="00200157"/>
    <w:rsid w:val="003341DE"/>
    <w:rsid w:val="00623423"/>
    <w:rsid w:val="006342E7"/>
    <w:rsid w:val="00862A0B"/>
    <w:rsid w:val="00952431"/>
    <w:rsid w:val="0098685E"/>
    <w:rsid w:val="00A52C64"/>
    <w:rsid w:val="00B3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E7C91"/>
  <w15:chartTrackingRefBased/>
  <w15:docId w15:val="{97C67923-AFD8-457F-A388-6FA58F5DB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52C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2C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5FD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E5FD4"/>
    <w:rPr>
      <w:rFonts w:ascii="Times New Roman" w:eastAsia="宋体" w:hAnsi="Times New Roman" w:cs="Times New Roman"/>
      <w:sz w:val="18"/>
      <w:szCs w:val="18"/>
    </w:rPr>
  </w:style>
  <w:style w:type="table" w:styleId="4-6">
    <w:name w:val="List Table 4 Accent 6"/>
    <w:basedOn w:val="a1"/>
    <w:uiPriority w:val="49"/>
    <w:rsid w:val="003341D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6-6">
    <w:name w:val="List Table 6 Colorful Accent 6"/>
    <w:basedOn w:val="a1"/>
    <w:uiPriority w:val="51"/>
    <w:rsid w:val="000C383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a6">
    <w:name w:val="header"/>
    <w:basedOn w:val="a"/>
    <w:link w:val="a7"/>
    <w:uiPriority w:val="99"/>
    <w:unhideWhenUsed/>
    <w:rsid w:val="000C3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C3837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C3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C3837"/>
    <w:rPr>
      <w:rFonts w:ascii="Times New Roman" w:eastAsia="宋体" w:hAnsi="Times New Roman" w:cs="Times New Roman"/>
      <w:sz w:val="18"/>
      <w:szCs w:val="18"/>
    </w:rPr>
  </w:style>
  <w:style w:type="table" w:styleId="6">
    <w:name w:val="List Table 6 Colorful"/>
    <w:basedOn w:val="a1"/>
    <w:uiPriority w:val="51"/>
    <w:rsid w:val="000C383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760474-619C-4556-B94F-242DC0021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lhlwjj</dc:creator>
  <cp:keywords/>
  <dc:description/>
  <cp:lastModifiedBy>lhlwjj</cp:lastModifiedBy>
  <cp:revision>5</cp:revision>
  <dcterms:created xsi:type="dcterms:W3CDTF">2019-10-15T09:42:00Z</dcterms:created>
  <dcterms:modified xsi:type="dcterms:W3CDTF">2019-10-16T01:19:00Z</dcterms:modified>
</cp:coreProperties>
</file>