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AC1B9E" w14:textId="77777777" w:rsidR="006F5BCA" w:rsidRPr="00D64F2F" w:rsidRDefault="006F5BCA" w:rsidP="006F5BCA">
      <w:pPr>
        <w:spacing w:line="480" w:lineRule="auto"/>
        <w:rPr>
          <w:rFonts w:ascii="Times New Roman" w:hAnsi="Times New Roman" w:cs="Times New Roman"/>
          <w:noProof/>
        </w:rPr>
      </w:pPr>
      <w:r w:rsidRPr="00D64F2F">
        <w:rPr>
          <w:rFonts w:ascii="Times New Roman" w:hAnsi="Times New Roman" w:cs="Times New Roman"/>
          <w:b/>
          <w:bCs/>
        </w:rPr>
        <w:t xml:space="preserve">Supplementary figure 1 </w:t>
      </w:r>
      <w:r w:rsidRPr="00D64F2F">
        <w:rPr>
          <w:rFonts w:ascii="Times New Roman" w:hAnsi="Times New Roman" w:cs="Times New Roman"/>
        </w:rPr>
        <w:t>Efficacy of UST on both CD and perianal fistula and the underlying relationship between clinical remission and fistula healing. (Panel A: Clinical remission and response rate based on CDAI; Panel B: Clinical fistula remission and response rates; Panel C: Percentages of clinical fistula remission/response on patients with or without clinical remission.)</w:t>
      </w:r>
    </w:p>
    <w:p w14:paraId="738A28DB" w14:textId="23A62254" w:rsidR="006F0A41" w:rsidRDefault="006F5BCA">
      <w:r>
        <w:rPr>
          <w:noProof/>
        </w:rPr>
        <w:drawing>
          <wp:inline distT="0" distB="0" distL="0" distR="0" wp14:anchorId="67B7E6FC" wp14:editId="16C85E84">
            <wp:extent cx="5631256" cy="2815628"/>
            <wp:effectExtent l="0" t="0" r="762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4466" cy="2817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7FBF57" w14:textId="3ADC49BE" w:rsidR="006F5BCA" w:rsidRDefault="006F5BCA"/>
    <w:p w14:paraId="3005CF66" w14:textId="69F23992" w:rsidR="006F5BCA" w:rsidRDefault="006F5BCA"/>
    <w:p w14:paraId="0C9774C0" w14:textId="2966B401" w:rsidR="006F5BCA" w:rsidRDefault="006F5BCA"/>
    <w:p w14:paraId="6414646D" w14:textId="7D5D902C" w:rsidR="006F5BCA" w:rsidRDefault="006F5BCA"/>
    <w:p w14:paraId="0970DB61" w14:textId="499CC139" w:rsidR="006F5BCA" w:rsidRDefault="006F5BCA"/>
    <w:p w14:paraId="1DAD8F43" w14:textId="265DB1DE" w:rsidR="006F5BCA" w:rsidRDefault="006F5BCA"/>
    <w:p w14:paraId="737D51C9" w14:textId="29B77871" w:rsidR="006F5BCA" w:rsidRDefault="006F5BCA"/>
    <w:p w14:paraId="7E945A98" w14:textId="1C64675E" w:rsidR="006F5BCA" w:rsidRDefault="006F5BCA"/>
    <w:p w14:paraId="52DE3539" w14:textId="31ACAEC3" w:rsidR="006F5BCA" w:rsidRDefault="006F5BCA"/>
    <w:p w14:paraId="48B94DA0" w14:textId="07E3C45A" w:rsidR="006F5BCA" w:rsidRDefault="006F5BCA"/>
    <w:p w14:paraId="47F06046" w14:textId="6BAA4461" w:rsidR="006F5BCA" w:rsidRDefault="006F5BCA"/>
    <w:p w14:paraId="7E0E2D1A" w14:textId="00E545FF" w:rsidR="006F5BCA" w:rsidRDefault="006F5BCA"/>
    <w:p w14:paraId="76BAEB60" w14:textId="7BE4B45D" w:rsidR="006F5BCA" w:rsidRDefault="006F5BCA"/>
    <w:p w14:paraId="0FE84E25" w14:textId="5E0AACBE" w:rsidR="006F5BCA" w:rsidRDefault="006F5BCA"/>
    <w:p w14:paraId="5A91E3EA" w14:textId="29E1819E" w:rsidR="006F5BCA" w:rsidRDefault="006F5BCA"/>
    <w:p w14:paraId="4B365CAB" w14:textId="7F8DF6E4" w:rsidR="006F5BCA" w:rsidRDefault="006F5BCA"/>
    <w:p w14:paraId="044582D1" w14:textId="79B8344F" w:rsidR="006F5BCA" w:rsidRDefault="006F5BCA"/>
    <w:p w14:paraId="2ABBB73B" w14:textId="7E712813" w:rsidR="006F5BCA" w:rsidRDefault="006F5BCA"/>
    <w:p w14:paraId="561B5258" w14:textId="7132D41B" w:rsidR="006F5BCA" w:rsidRDefault="006F5BCA"/>
    <w:p w14:paraId="45FFFD5B" w14:textId="08A7551E" w:rsidR="006F5BCA" w:rsidRDefault="006F5BCA"/>
    <w:p w14:paraId="16791733" w14:textId="3E7BB4F4" w:rsidR="006F5BCA" w:rsidRDefault="006F5BCA"/>
    <w:p w14:paraId="419420D9" w14:textId="77777777" w:rsidR="006F5BCA" w:rsidRPr="00D64F2F" w:rsidRDefault="006F5BCA" w:rsidP="006F5BCA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</w:rPr>
      </w:pPr>
      <w:r w:rsidRPr="00D64F2F">
        <w:rPr>
          <w:rFonts w:ascii="Times New Roman" w:hAnsi="Times New Roman" w:cs="Times New Roman"/>
          <w:b/>
          <w:bCs/>
        </w:rPr>
        <w:lastRenderedPageBreak/>
        <w:t xml:space="preserve">Supplementary figure 2 </w:t>
      </w:r>
      <w:r w:rsidRPr="00D64F2F">
        <w:rPr>
          <w:rFonts w:ascii="Times New Roman" w:hAnsi="Times New Roman" w:cs="Times New Roman"/>
        </w:rPr>
        <w:t>A case showing radiological fistula remission. (Panel A: Arrows show supra-musculi levator ani fistulas closure with scarring. Panel B: Arrows show sub-musculi levator ani fistulas closure with scarring. Panel C: Arrows showed vanishment of lesions in the superior space of levator ani muscle, and triangle shows improvement of proctitis.)</w:t>
      </w:r>
    </w:p>
    <w:p w14:paraId="34359E52" w14:textId="1E106D67" w:rsidR="006F5BCA" w:rsidRPr="006F5BCA" w:rsidRDefault="006F5BCA">
      <w:pPr>
        <w:rPr>
          <w:rFonts w:hint="eastAsia"/>
        </w:rPr>
      </w:pPr>
      <w:r>
        <w:rPr>
          <w:rFonts w:ascii="Times New Roman" w:hAnsi="Times New Roman" w:cs="Times New Roman"/>
          <w:b/>
          <w:bCs/>
        </w:rPr>
        <w:t xml:space="preserve"> </w:t>
      </w:r>
      <w:r>
        <w:rPr>
          <w:noProof/>
        </w:rPr>
        <w:drawing>
          <wp:inline distT="0" distB="0" distL="0" distR="0" wp14:anchorId="1BCB9A0D" wp14:editId="4D4F3619">
            <wp:extent cx="4698749" cy="5873436"/>
            <wp:effectExtent l="0" t="0" r="698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3860" cy="58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F5BCA" w:rsidRPr="006F5B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BCA"/>
    <w:rsid w:val="006F0A41"/>
    <w:rsid w:val="006F5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4C517"/>
  <w15:chartTrackingRefBased/>
  <w15:docId w15:val="{E4F5D7AB-C485-4F72-B904-ECFB30C30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5B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姚 嘉茵</dc:creator>
  <cp:keywords/>
  <dc:description/>
  <cp:lastModifiedBy>姚 嘉茵</cp:lastModifiedBy>
  <cp:revision>1</cp:revision>
  <dcterms:created xsi:type="dcterms:W3CDTF">2022-02-23T08:44:00Z</dcterms:created>
  <dcterms:modified xsi:type="dcterms:W3CDTF">2022-02-23T08:46:00Z</dcterms:modified>
</cp:coreProperties>
</file>