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3DF3E6" w14:textId="77777777" w:rsidR="000B426F" w:rsidRPr="004302EB" w:rsidRDefault="000B426F" w:rsidP="000B426F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302EB">
        <w:rPr>
          <w:rFonts w:ascii="Times New Roman" w:hAnsi="Times New Roman" w:cs="Times New Roman"/>
          <w:b/>
          <w:sz w:val="24"/>
          <w:szCs w:val="24"/>
        </w:rPr>
        <w:t>The impact of COVID-19 pandemic on HIV care continuum in Jiangsu, China</w:t>
      </w:r>
    </w:p>
    <w:p w14:paraId="5EC2A009" w14:textId="680AF8D0" w:rsidR="000B426F" w:rsidRDefault="000B426F" w:rsidP="000B426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Lingen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Shi,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Weiming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Tang, Haiyang Hu, Tao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Qiu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,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Gifty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Marley,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Xiaoyan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Liu,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Yuheng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Chen,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Yunting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Chen, </w:t>
      </w:r>
      <w:proofErr w:type="spellStart"/>
      <w:r w:rsidRPr="004302EB">
        <w:rPr>
          <w:rFonts w:ascii="Times New Roman" w:hAnsi="Times New Roman" w:cs="Times New Roman"/>
          <w:b/>
          <w:sz w:val="24"/>
          <w:szCs w:val="24"/>
        </w:rPr>
        <w:t>Gengfeng</w:t>
      </w:r>
      <w:proofErr w:type="spellEnd"/>
      <w:r w:rsidRPr="004302EB">
        <w:rPr>
          <w:rFonts w:ascii="Times New Roman" w:hAnsi="Times New Roman" w:cs="Times New Roman"/>
          <w:b/>
          <w:sz w:val="24"/>
          <w:szCs w:val="24"/>
        </w:rPr>
        <w:t xml:space="preserve"> Fu</w:t>
      </w:r>
    </w:p>
    <w:p w14:paraId="07F841F8" w14:textId="5A078AFA" w:rsidR="000B426F" w:rsidRDefault="000B426F" w:rsidP="000B426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E6B8863" w14:textId="2E5C2990" w:rsidR="000B426F" w:rsidRDefault="000B426F" w:rsidP="000B426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0B34CDC" w14:textId="19985BB5" w:rsidR="000B426F" w:rsidRDefault="000B426F" w:rsidP="000B426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502E2AF" w14:textId="5ABF0254" w:rsidR="000B426F" w:rsidRDefault="000B426F" w:rsidP="000B426F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CC9378A" w14:textId="77777777" w:rsidR="000B426F" w:rsidRPr="004302EB" w:rsidRDefault="000B426F" w:rsidP="000B426F">
      <w:pPr>
        <w:spacing w:line="360" w:lineRule="auto"/>
        <w:jc w:val="left"/>
        <w:rPr>
          <w:rFonts w:ascii="Times New Roman" w:hAnsi="Times New Roman" w:cs="Times New Roman" w:hint="eastAsia"/>
          <w:b/>
          <w:sz w:val="24"/>
          <w:szCs w:val="24"/>
          <w:vertAlign w:val="superscript"/>
        </w:rPr>
      </w:pPr>
    </w:p>
    <w:p w14:paraId="05BE35A6" w14:textId="39F4B012" w:rsidR="008C08CE" w:rsidRDefault="008C08CE" w:rsidP="008C0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0C39357" wp14:editId="19F85C35">
            <wp:extent cx="7887970" cy="4112895"/>
            <wp:effectExtent l="0" t="0" r="0" b="0"/>
            <wp:docPr id="4" name="图表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14:paraId="6D1CC81D" w14:textId="5727F5A4" w:rsidR="008C08CE" w:rsidRDefault="003E5D9C" w:rsidP="008C0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Supplement </w:t>
      </w:r>
      <w:r w:rsidR="00775875"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ig1</w:t>
      </w:r>
      <w:r w:rsidR="008C08CE">
        <w:rPr>
          <w:rFonts w:ascii="Times New Roman" w:hAnsi="Times New Roman" w:cs="Times New Roman"/>
          <w:sz w:val="24"/>
          <w:szCs w:val="24"/>
        </w:rPr>
        <w:t xml:space="preserve"> HIV/COVID-19 daily report in Jiangsu from January to March in 2020</w:t>
      </w:r>
    </w:p>
    <w:p w14:paraId="04360430" w14:textId="77777777" w:rsidR="008C08CE" w:rsidRDefault="008C08CE" w:rsidP="008C08CE">
      <w:pPr>
        <w:spacing w:line="360" w:lineRule="auto"/>
        <w:rPr>
          <w:rFonts w:ascii="Times New Roman" w:hAnsi="Times New Roman" w:cs="Times New Roman"/>
          <w:sz w:val="24"/>
          <w:szCs w:val="24"/>
        </w:rPr>
        <w:sectPr w:rsidR="008C08CE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14:paraId="274B5E76" w14:textId="77777777" w:rsidR="008C08CE" w:rsidRPr="003E5D9C" w:rsidRDefault="008C08CE" w:rsidP="008C0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173911D" w14:textId="77777777" w:rsidR="008C08CE" w:rsidRDefault="008C08CE" w:rsidP="008C0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t xml:space="preserve">  </w:t>
      </w:r>
      <w:r>
        <w:rPr>
          <w:noProof/>
        </w:rPr>
        <w:drawing>
          <wp:inline distT="0" distB="0" distL="0" distR="0" wp14:anchorId="67F60A6F" wp14:editId="64FB3278">
            <wp:extent cx="5278120" cy="653605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6536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92BA83" w14:textId="77777777" w:rsidR="008C08CE" w:rsidRDefault="008C08CE" w:rsidP="008C08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09F72D" w14:textId="4381FE3C" w:rsidR="008C08CE" w:rsidRDefault="003E5D9C" w:rsidP="008C08CE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>Supplement</w:t>
      </w:r>
      <w:r>
        <w:rPr>
          <w:rFonts w:ascii="Times New Roman" w:hAnsi="Times New Roman" w:cs="Times New Roman"/>
          <w:sz w:val="22"/>
        </w:rPr>
        <w:t xml:space="preserve"> </w:t>
      </w:r>
      <w:r w:rsidR="00775875">
        <w:rPr>
          <w:rFonts w:ascii="Times New Roman" w:hAnsi="Times New Roman" w:cs="Times New Roman"/>
          <w:sz w:val="22"/>
        </w:rPr>
        <w:t>f</w:t>
      </w:r>
      <w:r w:rsidR="008C08CE">
        <w:rPr>
          <w:rFonts w:ascii="Times New Roman" w:hAnsi="Times New Roman" w:cs="Times New Roman"/>
          <w:sz w:val="22"/>
        </w:rPr>
        <w:t>ig 2. The estimation curve of HIV/AIDS from screen positive to ART during 2019 to 2020</w:t>
      </w:r>
    </w:p>
    <w:p w14:paraId="725C4D0A" w14:textId="77777777" w:rsidR="008C08CE" w:rsidRDefault="008C08CE" w:rsidP="008C08CE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5A0474B6" w14:textId="77777777" w:rsidR="008C08CE" w:rsidRDefault="008C08CE" w:rsidP="008C08CE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77FE6286" w14:textId="77777777" w:rsidR="008C08CE" w:rsidRDefault="008C08CE" w:rsidP="008C08CE">
      <w:pPr>
        <w:spacing w:line="360" w:lineRule="auto"/>
        <w:jc w:val="center"/>
        <w:rPr>
          <w:sz w:val="24"/>
          <w:szCs w:val="24"/>
        </w:rPr>
      </w:pPr>
    </w:p>
    <w:p w14:paraId="7516AAE8" w14:textId="77777777" w:rsidR="008C08CE" w:rsidRDefault="008C08CE" w:rsidP="008C08CE">
      <w:pPr>
        <w:spacing w:line="360" w:lineRule="auto"/>
        <w:jc w:val="center"/>
      </w:pPr>
      <w:r>
        <w:rPr>
          <w:noProof/>
        </w:rPr>
        <w:lastRenderedPageBreak/>
        <w:drawing>
          <wp:inline distT="0" distB="0" distL="114300" distR="114300" wp14:anchorId="13CBFFE3" wp14:editId="14245639">
            <wp:extent cx="5275580" cy="5447665"/>
            <wp:effectExtent l="0" t="0" r="1270" b="635"/>
            <wp:docPr id="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5580" cy="544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78CC8" w14:textId="77777777" w:rsidR="008C08CE" w:rsidRDefault="008C08CE" w:rsidP="008C08CE">
      <w:pPr>
        <w:spacing w:line="360" w:lineRule="auto"/>
        <w:jc w:val="center"/>
      </w:pPr>
    </w:p>
    <w:p w14:paraId="13D089EF" w14:textId="2CBCDA91" w:rsidR="008C08CE" w:rsidRDefault="003E5D9C" w:rsidP="008C08CE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4"/>
          <w:szCs w:val="24"/>
        </w:rPr>
        <w:t>Supplement</w:t>
      </w:r>
      <w:r>
        <w:rPr>
          <w:rFonts w:ascii="Times New Roman" w:hAnsi="Times New Roman" w:cs="Times New Roman"/>
          <w:sz w:val="22"/>
        </w:rPr>
        <w:t xml:space="preserve"> </w:t>
      </w:r>
      <w:r w:rsidR="00775875">
        <w:rPr>
          <w:rFonts w:ascii="Times New Roman" w:hAnsi="Times New Roman" w:cs="Times New Roman"/>
          <w:sz w:val="22"/>
        </w:rPr>
        <w:t>f</w:t>
      </w:r>
      <w:r w:rsidR="008C08CE">
        <w:rPr>
          <w:rFonts w:ascii="Times New Roman" w:hAnsi="Times New Roman" w:cs="Times New Roman"/>
          <w:sz w:val="22"/>
        </w:rPr>
        <w:t>ig 3. Seasonal variation, autocorrelation function and partial autocorrelation function for the forecasting data</w:t>
      </w:r>
    </w:p>
    <w:p w14:paraId="42484EEC" w14:textId="77777777" w:rsidR="008C08CE" w:rsidRDefault="008C08CE" w:rsidP="008C08CE">
      <w:pPr>
        <w:spacing w:line="360" w:lineRule="auto"/>
        <w:jc w:val="left"/>
        <w:rPr>
          <w:rFonts w:ascii="Times New Roman" w:hAnsi="Times New Roman" w:cs="Times New Roman"/>
          <w:sz w:val="22"/>
        </w:rPr>
      </w:pPr>
    </w:p>
    <w:p w14:paraId="6B088272" w14:textId="77777777" w:rsidR="008C08CE" w:rsidRDefault="008C08CE" w:rsidP="008C08CE">
      <w:pPr>
        <w:spacing w:line="360" w:lineRule="auto"/>
        <w:jc w:val="left"/>
        <w:rPr>
          <w:rFonts w:ascii="Times New Roman" w:hAnsi="Times New Roman" w:cs="Times New Roman"/>
          <w:sz w:val="22"/>
        </w:rPr>
      </w:pPr>
      <w:r>
        <w:rPr>
          <w:noProof/>
        </w:rPr>
        <w:drawing>
          <wp:inline distT="0" distB="0" distL="0" distR="0" wp14:anchorId="510C895F" wp14:editId="68FED1FC">
            <wp:extent cx="5278120" cy="173609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813551" w14:textId="4B744C8A" w:rsidR="008C08CE" w:rsidRDefault="003E5D9C" w:rsidP="008C08CE">
      <w:pPr>
        <w:spacing w:line="360" w:lineRule="auto"/>
        <w:jc w:val="center"/>
        <w:rPr>
          <w:rFonts w:ascii="Times New Roman" w:hAnsi="Times New Roman" w:cs="Times New Roman"/>
          <w:sz w:val="22"/>
        </w:rPr>
      </w:pPr>
      <w:bookmarkStart w:id="0" w:name="_Hlk56702326"/>
      <w:r>
        <w:rPr>
          <w:rFonts w:ascii="Times New Roman" w:hAnsi="Times New Roman" w:cs="Times New Roman"/>
          <w:sz w:val="24"/>
          <w:szCs w:val="24"/>
        </w:rPr>
        <w:t>Supplement</w:t>
      </w:r>
      <w:r>
        <w:rPr>
          <w:rFonts w:ascii="Times New Roman" w:hAnsi="Times New Roman" w:cs="Times New Roman"/>
          <w:sz w:val="22"/>
        </w:rPr>
        <w:t xml:space="preserve"> </w:t>
      </w:r>
      <w:r w:rsidR="00775875">
        <w:rPr>
          <w:rFonts w:ascii="Times New Roman" w:hAnsi="Times New Roman" w:cs="Times New Roman"/>
          <w:sz w:val="22"/>
        </w:rPr>
        <w:t>f</w:t>
      </w:r>
      <w:r w:rsidR="008C08CE">
        <w:rPr>
          <w:rFonts w:ascii="Times New Roman" w:hAnsi="Times New Roman" w:cs="Times New Roman"/>
          <w:sz w:val="22"/>
        </w:rPr>
        <w:t xml:space="preserve">ig 4. The </w:t>
      </w:r>
      <w:r w:rsidR="008C08CE">
        <w:rPr>
          <w:rFonts w:ascii="Times New Roman" w:hAnsi="Times New Roman" w:cs="Times New Roman" w:hint="eastAsia"/>
          <w:sz w:val="22"/>
        </w:rPr>
        <w:t>error</w:t>
      </w:r>
      <w:r w:rsidR="008C08CE">
        <w:rPr>
          <w:rFonts w:ascii="Times New Roman" w:hAnsi="Times New Roman" w:cs="Times New Roman"/>
          <w:sz w:val="22"/>
        </w:rPr>
        <w:t xml:space="preserve"> rate in the </w:t>
      </w:r>
      <w:proofErr w:type="spellStart"/>
      <w:r w:rsidR="008C08CE">
        <w:rPr>
          <w:rFonts w:ascii="Times New Roman" w:hAnsi="Times New Roman" w:cs="Times New Roman"/>
          <w:sz w:val="22"/>
        </w:rPr>
        <w:t>casecade</w:t>
      </w:r>
      <w:proofErr w:type="spellEnd"/>
      <w:r w:rsidR="008C08CE">
        <w:rPr>
          <w:rFonts w:ascii="Times New Roman" w:hAnsi="Times New Roman" w:cs="Times New Roman"/>
          <w:sz w:val="22"/>
        </w:rPr>
        <w:t xml:space="preserve"> flow in HIV health care system during 2019 to 2020</w:t>
      </w:r>
      <w:bookmarkEnd w:id="0"/>
    </w:p>
    <w:p w14:paraId="37E73F77" w14:textId="77777777" w:rsidR="008C08CE" w:rsidRDefault="008C08CE" w:rsidP="008C08CE">
      <w:pPr>
        <w:spacing w:line="360" w:lineRule="auto"/>
        <w:jc w:val="center"/>
        <w:rPr>
          <w:rFonts w:ascii="Times New Roman" w:hAnsi="Times New Roman" w:cs="Times New Roman"/>
          <w:sz w:val="22"/>
        </w:rPr>
        <w:sectPr w:rsidR="008C08CE">
          <w:pgSz w:w="11906" w:h="16838"/>
          <w:pgMar w:top="1440" w:right="1797" w:bottom="1440" w:left="1797" w:header="851" w:footer="992" w:gutter="0"/>
          <w:cols w:space="425"/>
          <w:docGrid w:linePitch="312"/>
        </w:sectPr>
      </w:pPr>
    </w:p>
    <w:p w14:paraId="3D7A864E" w14:textId="77777777" w:rsidR="008C08CE" w:rsidRDefault="008C08CE" w:rsidP="008C08CE">
      <w:pPr>
        <w:spacing w:line="360" w:lineRule="auto"/>
        <w:jc w:val="center"/>
        <w:rPr>
          <w:rFonts w:ascii="Times New Roman" w:hAnsi="Times New Roman" w:cs="Times New Roman"/>
          <w:sz w:val="22"/>
        </w:rPr>
      </w:pPr>
    </w:p>
    <w:p w14:paraId="207F4284" w14:textId="3F3D5479" w:rsidR="008C08CE" w:rsidRDefault="003E5D9C" w:rsidP="008C08CE">
      <w:pPr>
        <w:spacing w:line="360" w:lineRule="auto"/>
        <w:jc w:val="center"/>
        <w:rPr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</w:t>
      </w:r>
      <w:r>
        <w:rPr>
          <w:sz w:val="24"/>
          <w:szCs w:val="24"/>
        </w:rPr>
        <w:t xml:space="preserve"> </w:t>
      </w:r>
      <w:r w:rsidR="00775875">
        <w:rPr>
          <w:sz w:val="24"/>
          <w:szCs w:val="24"/>
        </w:rPr>
        <w:t>t</w:t>
      </w:r>
      <w:r w:rsidR="008C08CE">
        <w:rPr>
          <w:sz w:val="24"/>
          <w:szCs w:val="24"/>
        </w:rPr>
        <w:t>able 1 Models parameters of the forecasting</w:t>
      </w:r>
    </w:p>
    <w:tbl>
      <w:tblPr>
        <w:tblStyle w:val="a3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6"/>
        <w:gridCol w:w="3053"/>
        <w:gridCol w:w="936"/>
        <w:gridCol w:w="977"/>
        <w:gridCol w:w="977"/>
        <w:gridCol w:w="632"/>
        <w:gridCol w:w="704"/>
        <w:gridCol w:w="693"/>
        <w:gridCol w:w="632"/>
        <w:gridCol w:w="875"/>
        <w:gridCol w:w="1086"/>
        <w:gridCol w:w="799"/>
      </w:tblGrid>
      <w:tr w:rsidR="008C08CE" w14:paraId="2C690DE6" w14:textId="77777777" w:rsidTr="000D747C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4D27962C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Variables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2B8F61F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P</w:t>
            </w:r>
            <w:r>
              <w:rPr>
                <w:sz w:val="20"/>
                <w:szCs w:val="21"/>
              </w:rPr>
              <w:t>arameters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CC6B87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M</w:t>
            </w:r>
            <w:r>
              <w:rPr>
                <w:sz w:val="20"/>
                <w:szCs w:val="21"/>
              </w:rPr>
              <w:t>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E9F5F5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R</w:t>
            </w:r>
            <w:r>
              <w:rPr>
                <w:sz w:val="20"/>
                <w:szCs w:val="21"/>
              </w:rPr>
              <w:t>MSE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031A2AC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M</w:t>
            </w:r>
            <w:r>
              <w:rPr>
                <w:sz w:val="20"/>
                <w:szCs w:val="21"/>
              </w:rPr>
              <w:t>AE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1DE6C63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M</w:t>
            </w:r>
            <w:r>
              <w:rPr>
                <w:sz w:val="20"/>
                <w:szCs w:val="21"/>
              </w:rPr>
              <w:t>PE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394FFEB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M</w:t>
            </w:r>
            <w:r>
              <w:rPr>
                <w:sz w:val="20"/>
                <w:szCs w:val="21"/>
              </w:rPr>
              <w:t>APE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4CEC4458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M</w:t>
            </w:r>
            <w:r>
              <w:rPr>
                <w:sz w:val="20"/>
                <w:szCs w:val="21"/>
              </w:rPr>
              <w:t>ASE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1F06B9D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A</w:t>
            </w:r>
            <w:r>
              <w:rPr>
                <w:sz w:val="20"/>
                <w:szCs w:val="21"/>
              </w:rPr>
              <w:t>CF1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14:paraId="601426B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A</w:t>
            </w:r>
            <w:r>
              <w:rPr>
                <w:sz w:val="20"/>
                <w:szCs w:val="21"/>
              </w:rPr>
              <w:t>IC</w:t>
            </w: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1E7B33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spellStart"/>
            <w:r>
              <w:rPr>
                <w:rFonts w:hint="eastAsia"/>
                <w:sz w:val="20"/>
                <w:szCs w:val="21"/>
              </w:rPr>
              <w:t>Ljung</w:t>
            </w:r>
            <w:proofErr w:type="spellEnd"/>
            <w:r>
              <w:rPr>
                <w:sz w:val="20"/>
                <w:szCs w:val="21"/>
              </w:rPr>
              <w:t>-Box</w:t>
            </w:r>
          </w:p>
        </w:tc>
      </w:tr>
      <w:tr w:rsidR="008C08CE" w14:paraId="5DA8C06C" w14:textId="77777777" w:rsidTr="000D747C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546F723" w14:textId="77777777" w:rsidR="008C08CE" w:rsidRDefault="008C08CE" w:rsidP="00511BF1">
            <w:pPr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E83E5FD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451AE07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33213E78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D665F4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7B611C6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578B627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194CB71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2F198524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14:paraId="0115730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EE96DF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C</w:t>
            </w:r>
            <w:r>
              <w:rPr>
                <w:sz w:val="20"/>
                <w:szCs w:val="21"/>
              </w:rPr>
              <w:t>hi-square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2C619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P</w:t>
            </w:r>
            <w:r>
              <w:rPr>
                <w:sz w:val="20"/>
                <w:szCs w:val="21"/>
              </w:rPr>
              <w:t xml:space="preserve"> value</w:t>
            </w:r>
          </w:p>
        </w:tc>
      </w:tr>
      <w:tr w:rsidR="008C08CE" w14:paraId="3CB380CF" w14:textId="77777777" w:rsidTr="000D747C">
        <w:trPr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DEADA3C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Clinic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25C2F1F6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>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2C92CC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-5160.98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3AC6BF68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35082.33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75A9C3B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21666.02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0CC5E92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-0.92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F8EFE8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3.14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BC8183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0.43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56563AF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-0.20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4521040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8</w:t>
            </w:r>
            <w:r>
              <w:rPr>
                <w:sz w:val="20"/>
                <w:szCs w:val="21"/>
              </w:rPr>
              <w:t>58.27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EA44268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2.09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14:paraId="1E945CA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.15</w:t>
            </w:r>
          </w:p>
        </w:tc>
      </w:tr>
      <w:tr w:rsidR="008C08CE" w14:paraId="6BEFB0C2" w14:textId="77777777" w:rsidTr="000D747C">
        <w:trPr>
          <w:jc w:val="center"/>
        </w:trPr>
        <w:tc>
          <w:tcPr>
            <w:tcW w:w="0" w:type="auto"/>
            <w:vAlign w:val="center"/>
          </w:tcPr>
          <w:p w14:paraId="4D614EA1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Penitentiary</w:t>
            </w:r>
          </w:p>
        </w:tc>
        <w:tc>
          <w:tcPr>
            <w:tcW w:w="0" w:type="auto"/>
            <w:vAlign w:val="center"/>
          </w:tcPr>
          <w:p w14:paraId="291250A1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vAlign w:val="center"/>
          </w:tcPr>
          <w:p w14:paraId="3EABF7A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14.75</w:t>
            </w:r>
          </w:p>
        </w:tc>
        <w:tc>
          <w:tcPr>
            <w:tcW w:w="0" w:type="auto"/>
            <w:vAlign w:val="center"/>
          </w:tcPr>
          <w:p w14:paraId="66494A6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1025.12</w:t>
            </w:r>
          </w:p>
        </w:tc>
        <w:tc>
          <w:tcPr>
            <w:tcW w:w="0" w:type="auto"/>
            <w:vAlign w:val="center"/>
          </w:tcPr>
          <w:p w14:paraId="24B7AE0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699.72</w:t>
            </w:r>
          </w:p>
        </w:tc>
        <w:tc>
          <w:tcPr>
            <w:tcW w:w="0" w:type="auto"/>
            <w:vAlign w:val="center"/>
          </w:tcPr>
          <w:p w14:paraId="359D0CC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-0.92</w:t>
            </w:r>
          </w:p>
        </w:tc>
        <w:tc>
          <w:tcPr>
            <w:tcW w:w="0" w:type="auto"/>
            <w:vAlign w:val="center"/>
          </w:tcPr>
          <w:p w14:paraId="64FF0E6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7.67</w:t>
            </w:r>
          </w:p>
        </w:tc>
        <w:tc>
          <w:tcPr>
            <w:tcW w:w="0" w:type="auto"/>
            <w:vAlign w:val="center"/>
          </w:tcPr>
          <w:p w14:paraId="27D8211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0.22</w:t>
            </w:r>
          </w:p>
        </w:tc>
        <w:tc>
          <w:tcPr>
            <w:tcW w:w="0" w:type="auto"/>
            <w:vAlign w:val="center"/>
          </w:tcPr>
          <w:p w14:paraId="297963F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0.15</w:t>
            </w:r>
          </w:p>
        </w:tc>
        <w:tc>
          <w:tcPr>
            <w:tcW w:w="0" w:type="auto"/>
            <w:vAlign w:val="center"/>
          </w:tcPr>
          <w:p w14:paraId="30FDC07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6</w:t>
            </w:r>
            <w:r>
              <w:rPr>
                <w:sz w:val="20"/>
                <w:szCs w:val="21"/>
              </w:rPr>
              <w:t>11.41</w:t>
            </w:r>
          </w:p>
        </w:tc>
        <w:tc>
          <w:tcPr>
            <w:tcW w:w="0" w:type="auto"/>
            <w:vAlign w:val="center"/>
          </w:tcPr>
          <w:p w14:paraId="11CC9F9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1.14</w:t>
            </w:r>
          </w:p>
        </w:tc>
        <w:tc>
          <w:tcPr>
            <w:tcW w:w="0" w:type="auto"/>
            <w:vAlign w:val="center"/>
          </w:tcPr>
          <w:p w14:paraId="72135D5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.29</w:t>
            </w:r>
          </w:p>
        </w:tc>
      </w:tr>
      <w:tr w:rsidR="008C08CE" w14:paraId="1254DD5E" w14:textId="77777777" w:rsidTr="000D747C">
        <w:trPr>
          <w:jc w:val="center"/>
        </w:trPr>
        <w:tc>
          <w:tcPr>
            <w:tcW w:w="0" w:type="auto"/>
            <w:vAlign w:val="center"/>
          </w:tcPr>
          <w:p w14:paraId="655CF57D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Others</w:t>
            </w:r>
          </w:p>
        </w:tc>
        <w:tc>
          <w:tcPr>
            <w:tcW w:w="0" w:type="auto"/>
            <w:vAlign w:val="center"/>
          </w:tcPr>
          <w:p w14:paraId="3A42B5B8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vAlign w:val="center"/>
          </w:tcPr>
          <w:p w14:paraId="2C42309B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-514.12</w:t>
            </w:r>
          </w:p>
        </w:tc>
        <w:tc>
          <w:tcPr>
            <w:tcW w:w="0" w:type="auto"/>
            <w:vAlign w:val="center"/>
          </w:tcPr>
          <w:p w14:paraId="024F7F3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11740.49</w:t>
            </w:r>
          </w:p>
        </w:tc>
        <w:tc>
          <w:tcPr>
            <w:tcW w:w="0" w:type="auto"/>
            <w:vAlign w:val="center"/>
          </w:tcPr>
          <w:p w14:paraId="3ECFC00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7886.26</w:t>
            </w:r>
          </w:p>
        </w:tc>
        <w:tc>
          <w:tcPr>
            <w:tcW w:w="0" w:type="auto"/>
            <w:vAlign w:val="center"/>
          </w:tcPr>
          <w:p w14:paraId="43060FE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-2.69</w:t>
            </w:r>
          </w:p>
        </w:tc>
        <w:tc>
          <w:tcPr>
            <w:tcW w:w="0" w:type="auto"/>
            <w:vAlign w:val="center"/>
          </w:tcPr>
          <w:p w14:paraId="5A9DE9F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17.37</w:t>
            </w:r>
          </w:p>
        </w:tc>
        <w:tc>
          <w:tcPr>
            <w:tcW w:w="0" w:type="auto"/>
            <w:vAlign w:val="center"/>
          </w:tcPr>
          <w:p w14:paraId="77256DA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0.52</w:t>
            </w:r>
          </w:p>
        </w:tc>
        <w:tc>
          <w:tcPr>
            <w:tcW w:w="0" w:type="auto"/>
            <w:vAlign w:val="center"/>
          </w:tcPr>
          <w:p w14:paraId="71ECF0C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-0.09</w:t>
            </w:r>
          </w:p>
        </w:tc>
        <w:tc>
          <w:tcPr>
            <w:tcW w:w="0" w:type="auto"/>
            <w:vAlign w:val="center"/>
          </w:tcPr>
          <w:p w14:paraId="29DE741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7</w:t>
            </w:r>
            <w:r>
              <w:rPr>
                <w:sz w:val="20"/>
                <w:szCs w:val="21"/>
              </w:rPr>
              <w:t>74.30</w:t>
            </w:r>
          </w:p>
        </w:tc>
        <w:tc>
          <w:tcPr>
            <w:tcW w:w="0" w:type="auto"/>
            <w:vAlign w:val="center"/>
          </w:tcPr>
          <w:p w14:paraId="56184FD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0.45</w:t>
            </w:r>
          </w:p>
        </w:tc>
        <w:tc>
          <w:tcPr>
            <w:tcW w:w="0" w:type="auto"/>
            <w:vAlign w:val="center"/>
          </w:tcPr>
          <w:p w14:paraId="7DBB37B4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0.50</w:t>
            </w:r>
          </w:p>
        </w:tc>
      </w:tr>
      <w:tr w:rsidR="008C08CE" w14:paraId="2C2A32FA" w14:textId="77777777" w:rsidTr="000D747C">
        <w:trPr>
          <w:jc w:val="center"/>
        </w:trPr>
        <w:tc>
          <w:tcPr>
            <w:tcW w:w="0" w:type="auto"/>
            <w:vAlign w:val="center"/>
          </w:tcPr>
          <w:p w14:paraId="5CBD250E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S</w:t>
            </w:r>
            <w:r>
              <w:rPr>
                <w:sz w:val="20"/>
                <w:szCs w:val="21"/>
              </w:rPr>
              <w:t>creen positive</w:t>
            </w:r>
          </w:p>
        </w:tc>
        <w:tc>
          <w:tcPr>
            <w:tcW w:w="0" w:type="auto"/>
            <w:vAlign w:val="center"/>
          </w:tcPr>
          <w:p w14:paraId="5F4375FB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0,1,2)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0,1,0)[12]</w:t>
            </w:r>
          </w:p>
        </w:tc>
        <w:tc>
          <w:tcPr>
            <w:tcW w:w="0" w:type="auto"/>
            <w:vAlign w:val="center"/>
          </w:tcPr>
          <w:p w14:paraId="3A120D9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13.47</w:t>
            </w:r>
          </w:p>
        </w:tc>
        <w:tc>
          <w:tcPr>
            <w:tcW w:w="0" w:type="auto"/>
            <w:vAlign w:val="center"/>
          </w:tcPr>
          <w:p w14:paraId="61A0AA9B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64.82</w:t>
            </w:r>
          </w:p>
        </w:tc>
        <w:tc>
          <w:tcPr>
            <w:tcW w:w="0" w:type="auto"/>
            <w:vAlign w:val="center"/>
          </w:tcPr>
          <w:p w14:paraId="6BBDD818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43.40</w:t>
            </w:r>
          </w:p>
        </w:tc>
        <w:tc>
          <w:tcPr>
            <w:tcW w:w="0" w:type="auto"/>
            <w:vAlign w:val="center"/>
          </w:tcPr>
          <w:p w14:paraId="6D17FE1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1.17</w:t>
            </w:r>
          </w:p>
        </w:tc>
        <w:tc>
          <w:tcPr>
            <w:tcW w:w="0" w:type="auto"/>
            <w:vAlign w:val="center"/>
          </w:tcPr>
          <w:p w14:paraId="4C7C7FD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4.43</w:t>
            </w:r>
          </w:p>
        </w:tc>
        <w:tc>
          <w:tcPr>
            <w:tcW w:w="0" w:type="auto"/>
            <w:vAlign w:val="center"/>
          </w:tcPr>
          <w:p w14:paraId="5F423FB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0.49</w:t>
            </w:r>
          </w:p>
        </w:tc>
        <w:tc>
          <w:tcPr>
            <w:tcW w:w="0" w:type="auto"/>
            <w:vAlign w:val="center"/>
          </w:tcPr>
          <w:p w14:paraId="0B922D3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0.04</w:t>
            </w:r>
          </w:p>
        </w:tc>
        <w:tc>
          <w:tcPr>
            <w:tcW w:w="0" w:type="auto"/>
            <w:vAlign w:val="center"/>
          </w:tcPr>
          <w:p w14:paraId="01DC53A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4</w:t>
            </w:r>
            <w:r>
              <w:rPr>
                <w:sz w:val="20"/>
                <w:szCs w:val="21"/>
              </w:rPr>
              <w:t>09.82</w:t>
            </w:r>
          </w:p>
        </w:tc>
        <w:tc>
          <w:tcPr>
            <w:tcW w:w="0" w:type="auto"/>
            <w:vAlign w:val="center"/>
          </w:tcPr>
          <w:p w14:paraId="7C81A62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0.07</w:t>
            </w:r>
          </w:p>
        </w:tc>
        <w:tc>
          <w:tcPr>
            <w:tcW w:w="0" w:type="auto"/>
            <w:vAlign w:val="center"/>
          </w:tcPr>
          <w:p w14:paraId="14D0DFE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.79</w:t>
            </w:r>
          </w:p>
        </w:tc>
      </w:tr>
      <w:tr w:rsidR="008C08CE" w14:paraId="32059CC9" w14:textId="77777777" w:rsidTr="000D747C">
        <w:trPr>
          <w:jc w:val="center"/>
        </w:trPr>
        <w:tc>
          <w:tcPr>
            <w:tcW w:w="0" w:type="auto"/>
            <w:vAlign w:val="center"/>
          </w:tcPr>
          <w:p w14:paraId="69F2720A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Confirmation</w:t>
            </w:r>
          </w:p>
        </w:tc>
        <w:tc>
          <w:tcPr>
            <w:tcW w:w="0" w:type="auto"/>
            <w:vAlign w:val="center"/>
          </w:tcPr>
          <w:p w14:paraId="150DE5F1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vAlign w:val="center"/>
          </w:tcPr>
          <w:p w14:paraId="513B0F2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2.37</w:t>
            </w:r>
          </w:p>
        </w:tc>
        <w:tc>
          <w:tcPr>
            <w:tcW w:w="0" w:type="auto"/>
            <w:vAlign w:val="center"/>
          </w:tcPr>
          <w:p w14:paraId="61C0A19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50.45</w:t>
            </w:r>
          </w:p>
        </w:tc>
        <w:tc>
          <w:tcPr>
            <w:tcW w:w="0" w:type="auto"/>
            <w:vAlign w:val="center"/>
          </w:tcPr>
          <w:p w14:paraId="3603B23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34.37</w:t>
            </w:r>
          </w:p>
        </w:tc>
        <w:tc>
          <w:tcPr>
            <w:tcW w:w="0" w:type="auto"/>
            <w:vAlign w:val="center"/>
          </w:tcPr>
          <w:p w14:paraId="46D9913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-0.13</w:t>
            </w:r>
          </w:p>
        </w:tc>
        <w:tc>
          <w:tcPr>
            <w:tcW w:w="0" w:type="auto"/>
            <w:vAlign w:val="center"/>
          </w:tcPr>
          <w:p w14:paraId="23A500F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7.25</w:t>
            </w:r>
          </w:p>
        </w:tc>
        <w:tc>
          <w:tcPr>
            <w:tcW w:w="0" w:type="auto"/>
            <w:vAlign w:val="center"/>
          </w:tcPr>
          <w:p w14:paraId="0C23B61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0.46</w:t>
            </w:r>
          </w:p>
        </w:tc>
        <w:tc>
          <w:tcPr>
            <w:tcW w:w="0" w:type="auto"/>
            <w:vAlign w:val="center"/>
          </w:tcPr>
          <w:p w14:paraId="510E45F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-0.07</w:t>
            </w:r>
          </w:p>
        </w:tc>
        <w:tc>
          <w:tcPr>
            <w:tcW w:w="0" w:type="auto"/>
            <w:vAlign w:val="center"/>
          </w:tcPr>
          <w:p w14:paraId="2B9EB68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3</w:t>
            </w:r>
            <w:r>
              <w:rPr>
                <w:sz w:val="20"/>
                <w:szCs w:val="21"/>
              </w:rPr>
              <w:t>94.19</w:t>
            </w:r>
          </w:p>
        </w:tc>
        <w:tc>
          <w:tcPr>
            <w:tcW w:w="0" w:type="auto"/>
            <w:vAlign w:val="center"/>
          </w:tcPr>
          <w:p w14:paraId="02CD097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0.25</w:t>
            </w:r>
          </w:p>
        </w:tc>
        <w:tc>
          <w:tcPr>
            <w:tcW w:w="0" w:type="auto"/>
            <w:vAlign w:val="center"/>
          </w:tcPr>
          <w:p w14:paraId="0EF0414B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.61</w:t>
            </w:r>
          </w:p>
        </w:tc>
      </w:tr>
      <w:tr w:rsidR="008C08CE" w14:paraId="598FF070" w14:textId="77777777" w:rsidTr="000D747C">
        <w:trPr>
          <w:jc w:val="center"/>
        </w:trPr>
        <w:tc>
          <w:tcPr>
            <w:tcW w:w="0" w:type="auto"/>
            <w:vAlign w:val="center"/>
          </w:tcPr>
          <w:p w14:paraId="1C5CA0E4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Case report</w:t>
            </w:r>
          </w:p>
        </w:tc>
        <w:tc>
          <w:tcPr>
            <w:tcW w:w="0" w:type="auto"/>
            <w:vAlign w:val="center"/>
          </w:tcPr>
          <w:p w14:paraId="28950473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vAlign w:val="center"/>
          </w:tcPr>
          <w:p w14:paraId="77D87D6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3.14</w:t>
            </w:r>
          </w:p>
        </w:tc>
        <w:tc>
          <w:tcPr>
            <w:tcW w:w="0" w:type="auto"/>
            <w:vAlign w:val="center"/>
          </w:tcPr>
          <w:p w14:paraId="474FB92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34.87</w:t>
            </w:r>
          </w:p>
        </w:tc>
        <w:tc>
          <w:tcPr>
            <w:tcW w:w="0" w:type="auto"/>
            <w:vAlign w:val="center"/>
          </w:tcPr>
          <w:p w14:paraId="587ED3D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22.62</w:t>
            </w:r>
          </w:p>
        </w:tc>
        <w:tc>
          <w:tcPr>
            <w:tcW w:w="0" w:type="auto"/>
            <w:vAlign w:val="center"/>
          </w:tcPr>
          <w:p w14:paraId="14912A8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0.18</w:t>
            </w:r>
          </w:p>
        </w:tc>
        <w:tc>
          <w:tcPr>
            <w:tcW w:w="0" w:type="auto"/>
            <w:vAlign w:val="center"/>
          </w:tcPr>
          <w:p w14:paraId="2018837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6.23</w:t>
            </w:r>
          </w:p>
        </w:tc>
        <w:tc>
          <w:tcPr>
            <w:tcW w:w="0" w:type="auto"/>
            <w:vAlign w:val="center"/>
          </w:tcPr>
          <w:p w14:paraId="67771ABB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0.38</w:t>
            </w:r>
          </w:p>
        </w:tc>
        <w:tc>
          <w:tcPr>
            <w:tcW w:w="0" w:type="auto"/>
            <w:vAlign w:val="center"/>
          </w:tcPr>
          <w:p w14:paraId="5F4956D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-0.20</w:t>
            </w:r>
          </w:p>
        </w:tc>
        <w:tc>
          <w:tcPr>
            <w:tcW w:w="0" w:type="auto"/>
            <w:vAlign w:val="center"/>
          </w:tcPr>
          <w:p w14:paraId="1B9661CF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3</w:t>
            </w:r>
            <w:r>
              <w:rPr>
                <w:sz w:val="20"/>
                <w:szCs w:val="21"/>
              </w:rPr>
              <w:t>73.07</w:t>
            </w:r>
          </w:p>
        </w:tc>
        <w:tc>
          <w:tcPr>
            <w:tcW w:w="0" w:type="auto"/>
            <w:vAlign w:val="center"/>
          </w:tcPr>
          <w:p w14:paraId="73330FE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2.05</w:t>
            </w:r>
          </w:p>
        </w:tc>
        <w:tc>
          <w:tcPr>
            <w:tcW w:w="0" w:type="auto"/>
            <w:vAlign w:val="center"/>
          </w:tcPr>
          <w:p w14:paraId="08F5D24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.15</w:t>
            </w:r>
          </w:p>
        </w:tc>
      </w:tr>
      <w:tr w:rsidR="008C08CE" w14:paraId="7B988981" w14:textId="77777777" w:rsidTr="000D747C">
        <w:trPr>
          <w:jc w:val="center"/>
        </w:trPr>
        <w:tc>
          <w:tcPr>
            <w:tcW w:w="0" w:type="auto"/>
            <w:vAlign w:val="center"/>
          </w:tcPr>
          <w:p w14:paraId="0207D6F4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L</w:t>
            </w:r>
            <w:r>
              <w:rPr>
                <w:sz w:val="20"/>
                <w:szCs w:val="21"/>
              </w:rPr>
              <w:t>inkage to care</w:t>
            </w:r>
          </w:p>
        </w:tc>
        <w:tc>
          <w:tcPr>
            <w:tcW w:w="0" w:type="auto"/>
            <w:vAlign w:val="center"/>
          </w:tcPr>
          <w:p w14:paraId="01CDEF17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vAlign w:val="center"/>
          </w:tcPr>
          <w:p w14:paraId="5459EB6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  <w:r>
              <w:rPr>
                <w:sz w:val="20"/>
                <w:szCs w:val="21"/>
              </w:rPr>
              <w:t>0.28</w:t>
            </w:r>
          </w:p>
        </w:tc>
        <w:tc>
          <w:tcPr>
            <w:tcW w:w="0" w:type="auto"/>
            <w:vAlign w:val="center"/>
          </w:tcPr>
          <w:p w14:paraId="18A9633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36.96</w:t>
            </w:r>
          </w:p>
        </w:tc>
        <w:tc>
          <w:tcPr>
            <w:tcW w:w="0" w:type="auto"/>
            <w:vAlign w:val="center"/>
          </w:tcPr>
          <w:p w14:paraId="354F6CF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27.16</w:t>
            </w:r>
          </w:p>
        </w:tc>
        <w:tc>
          <w:tcPr>
            <w:tcW w:w="0" w:type="auto"/>
            <w:vAlign w:val="center"/>
          </w:tcPr>
          <w:p w14:paraId="4314774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-0.62</w:t>
            </w:r>
          </w:p>
        </w:tc>
        <w:tc>
          <w:tcPr>
            <w:tcW w:w="0" w:type="auto"/>
            <w:vAlign w:val="center"/>
          </w:tcPr>
          <w:p w14:paraId="0331C5E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7.78</w:t>
            </w:r>
          </w:p>
        </w:tc>
        <w:tc>
          <w:tcPr>
            <w:tcW w:w="0" w:type="auto"/>
            <w:vAlign w:val="center"/>
          </w:tcPr>
          <w:p w14:paraId="2782DFB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0.53</w:t>
            </w:r>
          </w:p>
        </w:tc>
        <w:tc>
          <w:tcPr>
            <w:tcW w:w="0" w:type="auto"/>
            <w:vAlign w:val="center"/>
          </w:tcPr>
          <w:p w14:paraId="62CDB91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-0.17</w:t>
            </w:r>
          </w:p>
        </w:tc>
        <w:tc>
          <w:tcPr>
            <w:tcW w:w="0" w:type="auto"/>
            <w:vAlign w:val="center"/>
          </w:tcPr>
          <w:p w14:paraId="0943768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375.08</w:t>
            </w:r>
          </w:p>
        </w:tc>
        <w:tc>
          <w:tcPr>
            <w:tcW w:w="0" w:type="auto"/>
            <w:vAlign w:val="center"/>
          </w:tcPr>
          <w:p w14:paraId="7C26456B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1.46</w:t>
            </w:r>
          </w:p>
        </w:tc>
        <w:tc>
          <w:tcPr>
            <w:tcW w:w="0" w:type="auto"/>
            <w:vAlign w:val="center"/>
          </w:tcPr>
          <w:p w14:paraId="6342252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0.23</w:t>
            </w:r>
          </w:p>
        </w:tc>
      </w:tr>
      <w:tr w:rsidR="008C08CE" w14:paraId="38ADF66F" w14:textId="77777777" w:rsidTr="000D747C">
        <w:trPr>
          <w:jc w:val="center"/>
        </w:trPr>
        <w:tc>
          <w:tcPr>
            <w:tcW w:w="0" w:type="auto"/>
            <w:vAlign w:val="center"/>
          </w:tcPr>
          <w:p w14:paraId="25E0247C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Art</w:t>
            </w:r>
          </w:p>
        </w:tc>
        <w:tc>
          <w:tcPr>
            <w:tcW w:w="0" w:type="auto"/>
            <w:vAlign w:val="center"/>
          </w:tcPr>
          <w:p w14:paraId="22E45E06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1,0,0)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0,1,0)[12]</w:t>
            </w:r>
          </w:p>
        </w:tc>
        <w:tc>
          <w:tcPr>
            <w:tcW w:w="0" w:type="auto"/>
            <w:vAlign w:val="center"/>
          </w:tcPr>
          <w:p w14:paraId="2DF7CFC4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12.20</w:t>
            </w:r>
          </w:p>
        </w:tc>
        <w:tc>
          <w:tcPr>
            <w:tcW w:w="0" w:type="auto"/>
            <w:vAlign w:val="center"/>
          </w:tcPr>
          <w:p w14:paraId="16EA65E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98.44</w:t>
            </w:r>
          </w:p>
        </w:tc>
        <w:tc>
          <w:tcPr>
            <w:tcW w:w="0" w:type="auto"/>
            <w:vAlign w:val="center"/>
          </w:tcPr>
          <w:p w14:paraId="3953FE4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56.79</w:t>
            </w:r>
          </w:p>
        </w:tc>
        <w:tc>
          <w:tcPr>
            <w:tcW w:w="0" w:type="auto"/>
            <w:vAlign w:val="center"/>
          </w:tcPr>
          <w:p w14:paraId="664E9579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-2.59</w:t>
            </w:r>
          </w:p>
        </w:tc>
        <w:tc>
          <w:tcPr>
            <w:tcW w:w="0" w:type="auto"/>
            <w:vAlign w:val="center"/>
          </w:tcPr>
          <w:p w14:paraId="6FC93F2F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28.50</w:t>
            </w:r>
          </w:p>
        </w:tc>
        <w:tc>
          <w:tcPr>
            <w:tcW w:w="0" w:type="auto"/>
            <w:vAlign w:val="center"/>
          </w:tcPr>
          <w:p w14:paraId="1689F46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0.54</w:t>
            </w:r>
          </w:p>
        </w:tc>
        <w:tc>
          <w:tcPr>
            <w:tcW w:w="0" w:type="auto"/>
            <w:vAlign w:val="center"/>
          </w:tcPr>
          <w:p w14:paraId="4572A0EF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0.07</w:t>
            </w:r>
          </w:p>
        </w:tc>
        <w:tc>
          <w:tcPr>
            <w:tcW w:w="0" w:type="auto"/>
            <w:vAlign w:val="center"/>
          </w:tcPr>
          <w:p w14:paraId="5994D88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4</w:t>
            </w:r>
            <w:r>
              <w:rPr>
                <w:sz w:val="20"/>
                <w:szCs w:val="21"/>
              </w:rPr>
              <w:t>47.34</w:t>
            </w:r>
          </w:p>
        </w:tc>
        <w:tc>
          <w:tcPr>
            <w:tcW w:w="0" w:type="auto"/>
            <w:vAlign w:val="center"/>
          </w:tcPr>
          <w:p w14:paraId="3E43758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0.28</w:t>
            </w:r>
          </w:p>
        </w:tc>
        <w:tc>
          <w:tcPr>
            <w:tcW w:w="0" w:type="auto"/>
            <w:vAlign w:val="center"/>
          </w:tcPr>
          <w:p w14:paraId="3CFFB42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.60</w:t>
            </w:r>
          </w:p>
        </w:tc>
      </w:tr>
      <w:tr w:rsidR="008C08CE" w14:paraId="127D3DF4" w14:textId="77777777" w:rsidTr="000D747C">
        <w:trPr>
          <w:jc w:val="center"/>
        </w:trPr>
        <w:tc>
          <w:tcPr>
            <w:tcW w:w="0" w:type="auto"/>
            <w:vAlign w:val="center"/>
          </w:tcPr>
          <w:p w14:paraId="04D3CCC1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CD4</w:t>
            </w:r>
          </w:p>
        </w:tc>
        <w:tc>
          <w:tcPr>
            <w:tcW w:w="0" w:type="auto"/>
            <w:vAlign w:val="center"/>
          </w:tcPr>
          <w:p w14:paraId="4C62C614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proofErr w:type="gramStart"/>
            <w:r>
              <w:rPr>
                <w:sz w:val="20"/>
                <w:szCs w:val="21"/>
              </w:rPr>
              <w:t>ARIMA(</w:t>
            </w:r>
            <w:proofErr w:type="gramEnd"/>
            <w:r>
              <w:rPr>
                <w:sz w:val="20"/>
                <w:szCs w:val="21"/>
              </w:rPr>
              <w:t>0,1,1)</w:t>
            </w:r>
            <w:r>
              <w:rPr>
                <w:rFonts w:hint="eastAsia"/>
                <w:sz w:val="20"/>
                <w:szCs w:val="21"/>
              </w:rPr>
              <w:t xml:space="preserve"> (</w:t>
            </w:r>
            <w:r>
              <w:rPr>
                <w:sz w:val="20"/>
                <w:szCs w:val="21"/>
              </w:rPr>
              <w:t>1,1,0)[12]</w:t>
            </w:r>
          </w:p>
        </w:tc>
        <w:tc>
          <w:tcPr>
            <w:tcW w:w="0" w:type="auto"/>
            <w:vAlign w:val="center"/>
          </w:tcPr>
          <w:p w14:paraId="0455CF6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12.25</w:t>
            </w:r>
          </w:p>
        </w:tc>
        <w:tc>
          <w:tcPr>
            <w:tcW w:w="0" w:type="auto"/>
            <w:vAlign w:val="center"/>
          </w:tcPr>
          <w:p w14:paraId="6B033A1F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114.62</w:t>
            </w:r>
          </w:p>
        </w:tc>
        <w:tc>
          <w:tcPr>
            <w:tcW w:w="0" w:type="auto"/>
            <w:vAlign w:val="center"/>
          </w:tcPr>
          <w:p w14:paraId="75D9B9EF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57.68</w:t>
            </w:r>
          </w:p>
        </w:tc>
        <w:tc>
          <w:tcPr>
            <w:tcW w:w="0" w:type="auto"/>
            <w:vAlign w:val="center"/>
          </w:tcPr>
          <w:p w14:paraId="3CBEFDA3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-0.02</w:t>
            </w:r>
          </w:p>
        </w:tc>
        <w:tc>
          <w:tcPr>
            <w:tcW w:w="0" w:type="auto"/>
            <w:vAlign w:val="center"/>
          </w:tcPr>
          <w:p w14:paraId="06151AC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15.06</w:t>
            </w:r>
          </w:p>
        </w:tc>
        <w:tc>
          <w:tcPr>
            <w:tcW w:w="0" w:type="auto"/>
            <w:vAlign w:val="center"/>
          </w:tcPr>
          <w:p w14:paraId="72B0FF7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0.49</w:t>
            </w:r>
          </w:p>
        </w:tc>
        <w:tc>
          <w:tcPr>
            <w:tcW w:w="0" w:type="auto"/>
            <w:vAlign w:val="center"/>
          </w:tcPr>
          <w:p w14:paraId="0B4624E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-0.31</w:t>
            </w:r>
          </w:p>
        </w:tc>
        <w:tc>
          <w:tcPr>
            <w:tcW w:w="0" w:type="auto"/>
            <w:vAlign w:val="center"/>
          </w:tcPr>
          <w:p w14:paraId="1D03225E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4</w:t>
            </w:r>
            <w:r>
              <w:rPr>
                <w:sz w:val="20"/>
                <w:szCs w:val="21"/>
              </w:rPr>
              <w:t>58.60</w:t>
            </w:r>
          </w:p>
        </w:tc>
        <w:tc>
          <w:tcPr>
            <w:tcW w:w="0" w:type="auto"/>
            <w:vAlign w:val="center"/>
          </w:tcPr>
          <w:p w14:paraId="1C4A1F3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4.86</w:t>
            </w:r>
          </w:p>
        </w:tc>
        <w:tc>
          <w:tcPr>
            <w:tcW w:w="0" w:type="auto"/>
            <w:vAlign w:val="center"/>
          </w:tcPr>
          <w:p w14:paraId="629BEA6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.03</w:t>
            </w:r>
          </w:p>
        </w:tc>
      </w:tr>
      <w:tr w:rsidR="008C08CE" w14:paraId="485EE556" w14:textId="77777777" w:rsidTr="000D747C">
        <w:trPr>
          <w:jc w:val="center"/>
        </w:trPr>
        <w:tc>
          <w:tcPr>
            <w:tcW w:w="0" w:type="auto"/>
            <w:vAlign w:val="center"/>
          </w:tcPr>
          <w:p w14:paraId="69BE71C2" w14:textId="77777777" w:rsidR="008C08CE" w:rsidRDefault="008C08CE" w:rsidP="00511BF1">
            <w:pPr>
              <w:rPr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4A1F218D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0" w:type="auto"/>
            <w:vAlign w:val="center"/>
          </w:tcPr>
          <w:p w14:paraId="275704A7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Alpha</w:t>
            </w:r>
          </w:p>
        </w:tc>
        <w:tc>
          <w:tcPr>
            <w:tcW w:w="0" w:type="auto"/>
            <w:vAlign w:val="center"/>
          </w:tcPr>
          <w:p w14:paraId="505A39C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Beta</w:t>
            </w:r>
          </w:p>
        </w:tc>
        <w:tc>
          <w:tcPr>
            <w:tcW w:w="0" w:type="auto"/>
            <w:vAlign w:val="center"/>
          </w:tcPr>
          <w:p w14:paraId="30669F12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Gamma</w:t>
            </w:r>
          </w:p>
        </w:tc>
        <w:tc>
          <w:tcPr>
            <w:tcW w:w="0" w:type="auto"/>
            <w:vAlign w:val="center"/>
          </w:tcPr>
          <w:p w14:paraId="6BF135F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14:paraId="1FB099C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14:paraId="5507442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14:paraId="12CF3BA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14:paraId="332F5BB1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A</w:t>
            </w:r>
            <w:r>
              <w:rPr>
                <w:sz w:val="20"/>
                <w:szCs w:val="21"/>
              </w:rPr>
              <w:t>IC</w:t>
            </w:r>
          </w:p>
        </w:tc>
        <w:tc>
          <w:tcPr>
            <w:tcW w:w="0" w:type="auto"/>
            <w:vAlign w:val="center"/>
          </w:tcPr>
          <w:p w14:paraId="3ADD64B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vAlign w:val="center"/>
          </w:tcPr>
          <w:p w14:paraId="5A6DFBB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</w:tr>
      <w:tr w:rsidR="008C08CE" w14:paraId="734C6E5C" w14:textId="77777777" w:rsidTr="000D747C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7B90FB1E" w14:textId="77777777" w:rsidR="008C08CE" w:rsidRDefault="008C08CE" w:rsidP="00511BF1">
            <w:pPr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Key-population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3FE96CD" w14:textId="77777777" w:rsidR="008C08CE" w:rsidRDefault="008C08CE" w:rsidP="00511BF1">
            <w:pPr>
              <w:jc w:val="center"/>
              <w:rPr>
                <w:sz w:val="20"/>
                <w:szCs w:val="21"/>
              </w:rPr>
            </w:pPr>
            <w:r>
              <w:rPr>
                <w:sz w:val="20"/>
                <w:szCs w:val="21"/>
              </w:rPr>
              <w:t>Holt-winter exponential smoothing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58EBF556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F2FCD4A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7E3830D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0</w:t>
            </w:r>
            <w:r>
              <w:rPr>
                <w:sz w:val="20"/>
                <w:szCs w:val="21"/>
              </w:rPr>
              <w:t>.0001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0E27443F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371D30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0BA22A4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4FCFB8A8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EEBDF05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1</w:t>
            </w:r>
            <w:r>
              <w:rPr>
                <w:sz w:val="20"/>
                <w:szCs w:val="21"/>
              </w:rPr>
              <w:t>104.08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69D7A26C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14:paraId="107F00C0" w14:textId="77777777" w:rsidR="008C08CE" w:rsidRDefault="008C08CE" w:rsidP="00511BF1">
            <w:pPr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-</w:t>
            </w:r>
          </w:p>
        </w:tc>
      </w:tr>
    </w:tbl>
    <w:p w14:paraId="5632AA7E" w14:textId="77777777" w:rsidR="008C08CE" w:rsidRDefault="008C08CE" w:rsidP="008C08CE">
      <w:pPr>
        <w:spacing w:line="360" w:lineRule="auto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</w:t>
      </w:r>
      <w:r>
        <w:rPr>
          <w:rFonts w:hint="eastAsia"/>
          <w:sz w:val="20"/>
          <w:szCs w:val="21"/>
        </w:rPr>
        <w:t>-</w:t>
      </w:r>
      <w:r>
        <w:rPr>
          <w:sz w:val="20"/>
          <w:szCs w:val="21"/>
        </w:rPr>
        <w:t>: Not available or necessary in this model.</w:t>
      </w:r>
    </w:p>
    <w:p w14:paraId="177AC990" w14:textId="77777777" w:rsidR="004C62BB" w:rsidRPr="008C08CE" w:rsidRDefault="004C62BB"/>
    <w:sectPr w:rsidR="004C62BB" w:rsidRPr="008C08CE" w:rsidSect="002F4CC3">
      <w:pgSz w:w="16838" w:h="11906" w:orient="landscape" w:code="9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36BEE62" w14:textId="77777777" w:rsidR="00BC6040" w:rsidRDefault="00BC6040" w:rsidP="000B426F">
      <w:r>
        <w:separator/>
      </w:r>
    </w:p>
  </w:endnote>
  <w:endnote w:type="continuationSeparator" w:id="0">
    <w:p w14:paraId="4B30407D" w14:textId="77777777" w:rsidR="00BC6040" w:rsidRDefault="00BC6040" w:rsidP="000B4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0834BCC" w14:textId="77777777" w:rsidR="00BC6040" w:rsidRDefault="00BC6040" w:rsidP="000B426F">
      <w:r>
        <w:separator/>
      </w:r>
    </w:p>
  </w:footnote>
  <w:footnote w:type="continuationSeparator" w:id="0">
    <w:p w14:paraId="05A46595" w14:textId="77777777" w:rsidR="00BC6040" w:rsidRDefault="00BC6040" w:rsidP="000B426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8CE"/>
    <w:rsid w:val="000B426F"/>
    <w:rsid w:val="000D747C"/>
    <w:rsid w:val="003E5D9C"/>
    <w:rsid w:val="004C62BB"/>
    <w:rsid w:val="00775875"/>
    <w:rsid w:val="008C08CE"/>
    <w:rsid w:val="00963241"/>
    <w:rsid w:val="00BC6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F2D330"/>
  <w15:chartTrackingRefBased/>
  <w15:docId w15:val="{57330FA0-4E2E-4B04-A0E3-E89DD0C27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08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qFormat/>
    <w:rsid w:val="008C08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B42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0B426F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0B4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0B42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E:\2020&#24180;\&#35770;&#25991;&#20889;&#20316;\&#26032;&#20896;&#30123;&#24773;&#23545;HIV&#25253;&#30149;&#30340;&#24433;&#21709;\&#26032;&#20896;&#30123;&#24773;&#23545;HIV&#25253;&#30149;&#24433;&#21709;&#25968;&#25454;&#22788;&#29702;&#36807;&#31243;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6.1951546427809902E-2"/>
          <c:y val="0.118306198901011"/>
          <c:w val="0.92028097791687802"/>
          <c:h val="0.773380589263997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新冠艾滋合并!$C$1</c:f>
              <c:strCache>
                <c:ptCount val="1"/>
                <c:pt idx="0">
                  <c:v>COVID-19</c:v>
                </c:pt>
              </c:strCache>
            </c:strRef>
          </c:tx>
          <c:invertIfNegative val="0"/>
          <c:cat>
            <c:numRef>
              <c:f>新冠艾滋合并!$A$2:$A$92</c:f>
              <c:numCache>
                <c:formatCode>d\-mmm</c:formatCode>
                <c:ptCount val="91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43890</c:v>
                </c:pt>
                <c:pt idx="60">
                  <c:v>43891</c:v>
                </c:pt>
                <c:pt idx="61">
                  <c:v>43892</c:v>
                </c:pt>
                <c:pt idx="62">
                  <c:v>43893</c:v>
                </c:pt>
                <c:pt idx="63">
                  <c:v>43894</c:v>
                </c:pt>
                <c:pt idx="64">
                  <c:v>43895</c:v>
                </c:pt>
                <c:pt idx="65">
                  <c:v>43896</c:v>
                </c:pt>
                <c:pt idx="66">
                  <c:v>43897</c:v>
                </c:pt>
                <c:pt idx="67">
                  <c:v>43898</c:v>
                </c:pt>
                <c:pt idx="68">
                  <c:v>43899</c:v>
                </c:pt>
                <c:pt idx="69">
                  <c:v>43900</c:v>
                </c:pt>
                <c:pt idx="70">
                  <c:v>43901</c:v>
                </c:pt>
                <c:pt idx="71">
                  <c:v>43902</c:v>
                </c:pt>
                <c:pt idx="72">
                  <c:v>43903</c:v>
                </c:pt>
                <c:pt idx="73">
                  <c:v>43904</c:v>
                </c:pt>
                <c:pt idx="74">
                  <c:v>43905</c:v>
                </c:pt>
                <c:pt idx="75">
                  <c:v>43906</c:v>
                </c:pt>
                <c:pt idx="76">
                  <c:v>43907</c:v>
                </c:pt>
                <c:pt idx="77">
                  <c:v>43908</c:v>
                </c:pt>
                <c:pt idx="78">
                  <c:v>43909</c:v>
                </c:pt>
                <c:pt idx="79">
                  <c:v>43910</c:v>
                </c:pt>
                <c:pt idx="80">
                  <c:v>43911</c:v>
                </c:pt>
                <c:pt idx="81">
                  <c:v>43912</c:v>
                </c:pt>
                <c:pt idx="82">
                  <c:v>43913</c:v>
                </c:pt>
                <c:pt idx="83">
                  <c:v>43914</c:v>
                </c:pt>
                <c:pt idx="84">
                  <c:v>43915</c:v>
                </c:pt>
                <c:pt idx="85">
                  <c:v>43916</c:v>
                </c:pt>
                <c:pt idx="86">
                  <c:v>43917</c:v>
                </c:pt>
                <c:pt idx="87">
                  <c:v>43918</c:v>
                </c:pt>
                <c:pt idx="88">
                  <c:v>43919</c:v>
                </c:pt>
                <c:pt idx="89">
                  <c:v>43920</c:v>
                </c:pt>
                <c:pt idx="90">
                  <c:v>43921</c:v>
                </c:pt>
              </c:numCache>
            </c:numRef>
          </c:cat>
          <c:val>
            <c:numRef>
              <c:f>新冠艾滋合并!$C$2:$C$92</c:f>
              <c:numCache>
                <c:formatCode>General</c:formatCode>
                <c:ptCount val="91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  <c:pt idx="10">
                  <c:v>0</c:v>
                </c:pt>
                <c:pt idx="11">
                  <c:v>0</c:v>
                </c:pt>
                <c:pt idx="12">
                  <c:v>0</c:v>
                </c:pt>
                <c:pt idx="13">
                  <c:v>0</c:v>
                </c:pt>
                <c:pt idx="14">
                  <c:v>0</c:v>
                </c:pt>
                <c:pt idx="15">
                  <c:v>0</c:v>
                </c:pt>
                <c:pt idx="16">
                  <c:v>0</c:v>
                </c:pt>
                <c:pt idx="17">
                  <c:v>0</c:v>
                </c:pt>
                <c:pt idx="18">
                  <c:v>0</c:v>
                </c:pt>
                <c:pt idx="19">
                  <c:v>0</c:v>
                </c:pt>
                <c:pt idx="20">
                  <c:v>0</c:v>
                </c:pt>
                <c:pt idx="21">
                  <c:v>0</c:v>
                </c:pt>
                <c:pt idx="22">
                  <c:v>10</c:v>
                </c:pt>
                <c:pt idx="23">
                  <c:v>9</c:v>
                </c:pt>
                <c:pt idx="24">
                  <c:v>13</c:v>
                </c:pt>
                <c:pt idx="25">
                  <c:v>16</c:v>
                </c:pt>
                <c:pt idx="26">
                  <c:v>23</c:v>
                </c:pt>
                <c:pt idx="27">
                  <c:v>29</c:v>
                </c:pt>
                <c:pt idx="28">
                  <c:v>30</c:v>
                </c:pt>
                <c:pt idx="29">
                  <c:v>39</c:v>
                </c:pt>
                <c:pt idx="30">
                  <c:v>29</c:v>
                </c:pt>
                <c:pt idx="31">
                  <c:v>34</c:v>
                </c:pt>
                <c:pt idx="32">
                  <c:v>35</c:v>
                </c:pt>
                <c:pt idx="33">
                  <c:v>37</c:v>
                </c:pt>
                <c:pt idx="34">
                  <c:v>33</c:v>
                </c:pt>
                <c:pt idx="35">
                  <c:v>32</c:v>
                </c:pt>
                <c:pt idx="36">
                  <c:v>35</c:v>
                </c:pt>
                <c:pt idx="37">
                  <c:v>31</c:v>
                </c:pt>
                <c:pt idx="38">
                  <c:v>29</c:v>
                </c:pt>
                <c:pt idx="39">
                  <c:v>24</c:v>
                </c:pt>
                <c:pt idx="40">
                  <c:v>23</c:v>
                </c:pt>
                <c:pt idx="41">
                  <c:v>28</c:v>
                </c:pt>
                <c:pt idx="42">
                  <c:v>27</c:v>
                </c:pt>
                <c:pt idx="43">
                  <c:v>23</c:v>
                </c:pt>
                <c:pt idx="44">
                  <c:v>11</c:v>
                </c:pt>
                <c:pt idx="45">
                  <c:v>13</c:v>
                </c:pt>
                <c:pt idx="46">
                  <c:v>9</c:v>
                </c:pt>
                <c:pt idx="47">
                  <c:v>3</c:v>
                </c:pt>
                <c:pt idx="48">
                  <c:v>2</c:v>
                </c:pt>
                <c:pt idx="49">
                  <c:v>0</c:v>
                </c:pt>
                <c:pt idx="50">
                  <c:v>0</c:v>
                </c:pt>
                <c:pt idx="51">
                  <c:v>0</c:v>
                </c:pt>
                <c:pt idx="52">
                  <c:v>0</c:v>
                </c:pt>
                <c:pt idx="53">
                  <c:v>0</c:v>
                </c:pt>
                <c:pt idx="54">
                  <c:v>0</c:v>
                </c:pt>
                <c:pt idx="55">
                  <c:v>0</c:v>
                </c:pt>
                <c:pt idx="56">
                  <c:v>0</c:v>
                </c:pt>
                <c:pt idx="57">
                  <c:v>0</c:v>
                </c:pt>
                <c:pt idx="58">
                  <c:v>0</c:v>
                </c:pt>
                <c:pt idx="59">
                  <c:v>0</c:v>
                </c:pt>
                <c:pt idx="60">
                  <c:v>0</c:v>
                </c:pt>
                <c:pt idx="61">
                  <c:v>0</c:v>
                </c:pt>
                <c:pt idx="62">
                  <c:v>0</c:v>
                </c:pt>
                <c:pt idx="63">
                  <c:v>0</c:v>
                </c:pt>
                <c:pt idx="64">
                  <c:v>0</c:v>
                </c:pt>
                <c:pt idx="65">
                  <c:v>0</c:v>
                </c:pt>
                <c:pt idx="66">
                  <c:v>0</c:v>
                </c:pt>
                <c:pt idx="67">
                  <c:v>0</c:v>
                </c:pt>
                <c:pt idx="68">
                  <c:v>0</c:v>
                </c:pt>
                <c:pt idx="69">
                  <c:v>0</c:v>
                </c:pt>
                <c:pt idx="70">
                  <c:v>0</c:v>
                </c:pt>
                <c:pt idx="71">
                  <c:v>0</c:v>
                </c:pt>
                <c:pt idx="72">
                  <c:v>0</c:v>
                </c:pt>
                <c:pt idx="73">
                  <c:v>0</c:v>
                </c:pt>
                <c:pt idx="74">
                  <c:v>0</c:v>
                </c:pt>
                <c:pt idx="75">
                  <c:v>0</c:v>
                </c:pt>
                <c:pt idx="76">
                  <c:v>0</c:v>
                </c:pt>
                <c:pt idx="77">
                  <c:v>0</c:v>
                </c:pt>
                <c:pt idx="78">
                  <c:v>0</c:v>
                </c:pt>
                <c:pt idx="79">
                  <c:v>0</c:v>
                </c:pt>
                <c:pt idx="80">
                  <c:v>0</c:v>
                </c:pt>
                <c:pt idx="81">
                  <c:v>0</c:v>
                </c:pt>
                <c:pt idx="82">
                  <c:v>0</c:v>
                </c:pt>
                <c:pt idx="83">
                  <c:v>0</c:v>
                </c:pt>
                <c:pt idx="84">
                  <c:v>0</c:v>
                </c:pt>
                <c:pt idx="85">
                  <c:v>1</c:v>
                </c:pt>
                <c:pt idx="86">
                  <c:v>10</c:v>
                </c:pt>
                <c:pt idx="87">
                  <c:v>3</c:v>
                </c:pt>
                <c:pt idx="88">
                  <c:v>1</c:v>
                </c:pt>
                <c:pt idx="89">
                  <c:v>1</c:v>
                </c:pt>
                <c:pt idx="90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A57-4BE8-9800-9FEECD561104}"/>
            </c:ext>
          </c:extLst>
        </c:ser>
        <c:ser>
          <c:idx val="1"/>
          <c:order val="1"/>
          <c:tx>
            <c:strRef>
              <c:f>新冠艾滋合并!$D$1</c:f>
              <c:strCache>
                <c:ptCount val="1"/>
                <c:pt idx="0">
                  <c:v>HIV/AIDS</c:v>
                </c:pt>
              </c:strCache>
            </c:strRef>
          </c:tx>
          <c:invertIfNegative val="0"/>
          <c:cat>
            <c:numRef>
              <c:f>新冠艾滋合并!$A$2:$A$92</c:f>
              <c:numCache>
                <c:formatCode>d\-mmm</c:formatCode>
                <c:ptCount val="91"/>
                <c:pt idx="0">
                  <c:v>43831</c:v>
                </c:pt>
                <c:pt idx="1">
                  <c:v>43832</c:v>
                </c:pt>
                <c:pt idx="2">
                  <c:v>43833</c:v>
                </c:pt>
                <c:pt idx="3">
                  <c:v>43834</c:v>
                </c:pt>
                <c:pt idx="4">
                  <c:v>43835</c:v>
                </c:pt>
                <c:pt idx="5">
                  <c:v>43836</c:v>
                </c:pt>
                <c:pt idx="6">
                  <c:v>43837</c:v>
                </c:pt>
                <c:pt idx="7">
                  <c:v>43838</c:v>
                </c:pt>
                <c:pt idx="8">
                  <c:v>43839</c:v>
                </c:pt>
                <c:pt idx="9">
                  <c:v>43840</c:v>
                </c:pt>
                <c:pt idx="10">
                  <c:v>43841</c:v>
                </c:pt>
                <c:pt idx="11">
                  <c:v>43842</c:v>
                </c:pt>
                <c:pt idx="12">
                  <c:v>43843</c:v>
                </c:pt>
                <c:pt idx="13">
                  <c:v>43844</c:v>
                </c:pt>
                <c:pt idx="14">
                  <c:v>43845</c:v>
                </c:pt>
                <c:pt idx="15">
                  <c:v>43846</c:v>
                </c:pt>
                <c:pt idx="16">
                  <c:v>43847</c:v>
                </c:pt>
                <c:pt idx="17">
                  <c:v>43848</c:v>
                </c:pt>
                <c:pt idx="18">
                  <c:v>43849</c:v>
                </c:pt>
                <c:pt idx="19">
                  <c:v>43850</c:v>
                </c:pt>
                <c:pt idx="20">
                  <c:v>43851</c:v>
                </c:pt>
                <c:pt idx="21">
                  <c:v>43852</c:v>
                </c:pt>
                <c:pt idx="22">
                  <c:v>43853</c:v>
                </c:pt>
                <c:pt idx="23">
                  <c:v>43854</c:v>
                </c:pt>
                <c:pt idx="24">
                  <c:v>43855</c:v>
                </c:pt>
                <c:pt idx="25">
                  <c:v>43856</c:v>
                </c:pt>
                <c:pt idx="26">
                  <c:v>43857</c:v>
                </c:pt>
                <c:pt idx="27">
                  <c:v>43858</c:v>
                </c:pt>
                <c:pt idx="28">
                  <c:v>43859</c:v>
                </c:pt>
                <c:pt idx="29">
                  <c:v>43860</c:v>
                </c:pt>
                <c:pt idx="30">
                  <c:v>43861</c:v>
                </c:pt>
                <c:pt idx="31">
                  <c:v>43862</c:v>
                </c:pt>
                <c:pt idx="32">
                  <c:v>43863</c:v>
                </c:pt>
                <c:pt idx="33">
                  <c:v>43864</c:v>
                </c:pt>
                <c:pt idx="34">
                  <c:v>43865</c:v>
                </c:pt>
                <c:pt idx="35">
                  <c:v>43866</c:v>
                </c:pt>
                <c:pt idx="36">
                  <c:v>43867</c:v>
                </c:pt>
                <c:pt idx="37">
                  <c:v>43868</c:v>
                </c:pt>
                <c:pt idx="38">
                  <c:v>43869</c:v>
                </c:pt>
                <c:pt idx="39">
                  <c:v>43870</c:v>
                </c:pt>
                <c:pt idx="40">
                  <c:v>43871</c:v>
                </c:pt>
                <c:pt idx="41">
                  <c:v>43872</c:v>
                </c:pt>
                <c:pt idx="42">
                  <c:v>43873</c:v>
                </c:pt>
                <c:pt idx="43">
                  <c:v>43874</c:v>
                </c:pt>
                <c:pt idx="44">
                  <c:v>43875</c:v>
                </c:pt>
                <c:pt idx="45">
                  <c:v>43876</c:v>
                </c:pt>
                <c:pt idx="46">
                  <c:v>43877</c:v>
                </c:pt>
                <c:pt idx="47">
                  <c:v>43878</c:v>
                </c:pt>
                <c:pt idx="48">
                  <c:v>43879</c:v>
                </c:pt>
                <c:pt idx="49">
                  <c:v>43880</c:v>
                </c:pt>
                <c:pt idx="50">
                  <c:v>43881</c:v>
                </c:pt>
                <c:pt idx="51">
                  <c:v>43882</c:v>
                </c:pt>
                <c:pt idx="52">
                  <c:v>43883</c:v>
                </c:pt>
                <c:pt idx="53">
                  <c:v>43884</c:v>
                </c:pt>
                <c:pt idx="54">
                  <c:v>43885</c:v>
                </c:pt>
                <c:pt idx="55">
                  <c:v>43886</c:v>
                </c:pt>
                <c:pt idx="56">
                  <c:v>43887</c:v>
                </c:pt>
                <c:pt idx="57">
                  <c:v>43888</c:v>
                </c:pt>
                <c:pt idx="58">
                  <c:v>43889</c:v>
                </c:pt>
                <c:pt idx="59">
                  <c:v>43890</c:v>
                </c:pt>
                <c:pt idx="60">
                  <c:v>43891</c:v>
                </c:pt>
                <c:pt idx="61">
                  <c:v>43892</c:v>
                </c:pt>
                <c:pt idx="62">
                  <c:v>43893</c:v>
                </c:pt>
                <c:pt idx="63">
                  <c:v>43894</c:v>
                </c:pt>
                <c:pt idx="64">
                  <c:v>43895</c:v>
                </c:pt>
                <c:pt idx="65">
                  <c:v>43896</c:v>
                </c:pt>
                <c:pt idx="66">
                  <c:v>43897</c:v>
                </c:pt>
                <c:pt idx="67">
                  <c:v>43898</c:v>
                </c:pt>
                <c:pt idx="68">
                  <c:v>43899</c:v>
                </c:pt>
                <c:pt idx="69">
                  <c:v>43900</c:v>
                </c:pt>
                <c:pt idx="70">
                  <c:v>43901</c:v>
                </c:pt>
                <c:pt idx="71">
                  <c:v>43902</c:v>
                </c:pt>
                <c:pt idx="72">
                  <c:v>43903</c:v>
                </c:pt>
                <c:pt idx="73">
                  <c:v>43904</c:v>
                </c:pt>
                <c:pt idx="74">
                  <c:v>43905</c:v>
                </c:pt>
                <c:pt idx="75">
                  <c:v>43906</c:v>
                </c:pt>
                <c:pt idx="76">
                  <c:v>43907</c:v>
                </c:pt>
                <c:pt idx="77">
                  <c:v>43908</c:v>
                </c:pt>
                <c:pt idx="78">
                  <c:v>43909</c:v>
                </c:pt>
                <c:pt idx="79">
                  <c:v>43910</c:v>
                </c:pt>
                <c:pt idx="80">
                  <c:v>43911</c:v>
                </c:pt>
                <c:pt idx="81">
                  <c:v>43912</c:v>
                </c:pt>
                <c:pt idx="82">
                  <c:v>43913</c:v>
                </c:pt>
                <c:pt idx="83">
                  <c:v>43914</c:v>
                </c:pt>
                <c:pt idx="84">
                  <c:v>43915</c:v>
                </c:pt>
                <c:pt idx="85">
                  <c:v>43916</c:v>
                </c:pt>
                <c:pt idx="86">
                  <c:v>43917</c:v>
                </c:pt>
                <c:pt idx="87">
                  <c:v>43918</c:v>
                </c:pt>
                <c:pt idx="88">
                  <c:v>43919</c:v>
                </c:pt>
                <c:pt idx="89">
                  <c:v>43920</c:v>
                </c:pt>
                <c:pt idx="90">
                  <c:v>43921</c:v>
                </c:pt>
              </c:numCache>
            </c:numRef>
          </c:cat>
          <c:val>
            <c:numRef>
              <c:f>新冠艾滋合并!$D$2:$D$92</c:f>
              <c:numCache>
                <c:formatCode>General</c:formatCode>
                <c:ptCount val="91"/>
                <c:pt idx="0">
                  <c:v>0</c:v>
                </c:pt>
                <c:pt idx="1">
                  <c:v>21</c:v>
                </c:pt>
                <c:pt idx="2">
                  <c:v>33</c:v>
                </c:pt>
                <c:pt idx="3">
                  <c:v>0</c:v>
                </c:pt>
                <c:pt idx="4">
                  <c:v>2</c:v>
                </c:pt>
                <c:pt idx="5">
                  <c:v>18</c:v>
                </c:pt>
                <c:pt idx="6">
                  <c:v>11</c:v>
                </c:pt>
                <c:pt idx="7">
                  <c:v>30</c:v>
                </c:pt>
                <c:pt idx="8">
                  <c:v>20</c:v>
                </c:pt>
                <c:pt idx="9">
                  <c:v>12</c:v>
                </c:pt>
                <c:pt idx="10">
                  <c:v>1</c:v>
                </c:pt>
                <c:pt idx="11">
                  <c:v>0</c:v>
                </c:pt>
                <c:pt idx="12">
                  <c:v>10</c:v>
                </c:pt>
                <c:pt idx="13">
                  <c:v>18</c:v>
                </c:pt>
                <c:pt idx="14">
                  <c:v>10</c:v>
                </c:pt>
                <c:pt idx="15">
                  <c:v>23</c:v>
                </c:pt>
                <c:pt idx="16">
                  <c:v>18</c:v>
                </c:pt>
                <c:pt idx="17">
                  <c:v>0</c:v>
                </c:pt>
                <c:pt idx="18">
                  <c:v>11</c:v>
                </c:pt>
                <c:pt idx="19">
                  <c:v>6</c:v>
                </c:pt>
                <c:pt idx="20">
                  <c:v>20</c:v>
                </c:pt>
                <c:pt idx="21">
                  <c:v>12</c:v>
                </c:pt>
                <c:pt idx="22">
                  <c:v>4</c:v>
                </c:pt>
                <c:pt idx="23">
                  <c:v>0</c:v>
                </c:pt>
                <c:pt idx="24">
                  <c:v>0</c:v>
                </c:pt>
                <c:pt idx="25">
                  <c:v>0</c:v>
                </c:pt>
                <c:pt idx="26">
                  <c:v>0</c:v>
                </c:pt>
                <c:pt idx="27">
                  <c:v>3</c:v>
                </c:pt>
                <c:pt idx="28">
                  <c:v>0</c:v>
                </c:pt>
                <c:pt idx="29">
                  <c:v>0</c:v>
                </c:pt>
                <c:pt idx="30">
                  <c:v>1</c:v>
                </c:pt>
                <c:pt idx="31">
                  <c:v>1</c:v>
                </c:pt>
                <c:pt idx="32">
                  <c:v>2</c:v>
                </c:pt>
                <c:pt idx="33">
                  <c:v>7</c:v>
                </c:pt>
                <c:pt idx="34">
                  <c:v>6</c:v>
                </c:pt>
                <c:pt idx="35">
                  <c:v>9</c:v>
                </c:pt>
                <c:pt idx="36">
                  <c:v>7</c:v>
                </c:pt>
                <c:pt idx="37">
                  <c:v>12</c:v>
                </c:pt>
                <c:pt idx="38">
                  <c:v>9</c:v>
                </c:pt>
                <c:pt idx="39">
                  <c:v>1</c:v>
                </c:pt>
                <c:pt idx="40">
                  <c:v>8</c:v>
                </c:pt>
                <c:pt idx="41">
                  <c:v>15</c:v>
                </c:pt>
                <c:pt idx="42">
                  <c:v>12</c:v>
                </c:pt>
                <c:pt idx="43">
                  <c:v>2</c:v>
                </c:pt>
                <c:pt idx="44">
                  <c:v>2</c:v>
                </c:pt>
                <c:pt idx="45">
                  <c:v>2</c:v>
                </c:pt>
                <c:pt idx="46">
                  <c:v>2</c:v>
                </c:pt>
                <c:pt idx="47">
                  <c:v>11</c:v>
                </c:pt>
                <c:pt idx="48">
                  <c:v>2</c:v>
                </c:pt>
                <c:pt idx="49">
                  <c:v>7</c:v>
                </c:pt>
                <c:pt idx="50">
                  <c:v>6</c:v>
                </c:pt>
                <c:pt idx="51">
                  <c:v>4</c:v>
                </c:pt>
                <c:pt idx="52">
                  <c:v>0</c:v>
                </c:pt>
                <c:pt idx="53">
                  <c:v>0</c:v>
                </c:pt>
                <c:pt idx="54">
                  <c:v>2</c:v>
                </c:pt>
                <c:pt idx="55">
                  <c:v>4</c:v>
                </c:pt>
                <c:pt idx="56">
                  <c:v>10</c:v>
                </c:pt>
                <c:pt idx="57">
                  <c:v>9</c:v>
                </c:pt>
                <c:pt idx="58">
                  <c:v>5</c:v>
                </c:pt>
                <c:pt idx="59">
                  <c:v>2</c:v>
                </c:pt>
                <c:pt idx="60">
                  <c:v>0</c:v>
                </c:pt>
                <c:pt idx="61">
                  <c:v>4</c:v>
                </c:pt>
                <c:pt idx="62">
                  <c:v>9</c:v>
                </c:pt>
                <c:pt idx="63">
                  <c:v>12</c:v>
                </c:pt>
                <c:pt idx="64">
                  <c:v>11</c:v>
                </c:pt>
                <c:pt idx="65">
                  <c:v>8</c:v>
                </c:pt>
                <c:pt idx="66">
                  <c:v>3</c:v>
                </c:pt>
                <c:pt idx="67">
                  <c:v>2</c:v>
                </c:pt>
                <c:pt idx="68">
                  <c:v>1</c:v>
                </c:pt>
                <c:pt idx="69">
                  <c:v>10</c:v>
                </c:pt>
                <c:pt idx="70">
                  <c:v>6</c:v>
                </c:pt>
                <c:pt idx="71">
                  <c:v>5</c:v>
                </c:pt>
                <c:pt idx="72">
                  <c:v>22</c:v>
                </c:pt>
                <c:pt idx="73">
                  <c:v>3</c:v>
                </c:pt>
                <c:pt idx="74">
                  <c:v>3</c:v>
                </c:pt>
                <c:pt idx="75">
                  <c:v>11</c:v>
                </c:pt>
                <c:pt idx="76">
                  <c:v>18</c:v>
                </c:pt>
                <c:pt idx="77">
                  <c:v>16</c:v>
                </c:pt>
                <c:pt idx="78">
                  <c:v>5</c:v>
                </c:pt>
                <c:pt idx="79">
                  <c:v>18</c:v>
                </c:pt>
                <c:pt idx="80">
                  <c:v>4</c:v>
                </c:pt>
                <c:pt idx="81">
                  <c:v>0</c:v>
                </c:pt>
                <c:pt idx="82">
                  <c:v>16</c:v>
                </c:pt>
                <c:pt idx="83">
                  <c:v>23</c:v>
                </c:pt>
                <c:pt idx="84">
                  <c:v>25</c:v>
                </c:pt>
                <c:pt idx="85">
                  <c:v>7</c:v>
                </c:pt>
                <c:pt idx="86">
                  <c:v>20</c:v>
                </c:pt>
                <c:pt idx="87">
                  <c:v>1</c:v>
                </c:pt>
                <c:pt idx="88">
                  <c:v>0</c:v>
                </c:pt>
                <c:pt idx="89">
                  <c:v>15</c:v>
                </c:pt>
                <c:pt idx="90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A57-4BE8-9800-9FEECD56110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70"/>
        <c:axId val="197836800"/>
        <c:axId val="197838336"/>
      </c:barChart>
      <c:dateAx>
        <c:axId val="197836800"/>
        <c:scaling>
          <c:orientation val="minMax"/>
        </c:scaling>
        <c:delete val="0"/>
        <c:axPos val="b"/>
        <c:title>
          <c:tx>
            <c:rich>
              <a:bodyPr rot="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Time</a:t>
                </a:r>
                <a:endParaRPr lang="zh-CN" altLang="en-US"/>
              </a:p>
            </c:rich>
          </c:tx>
          <c:layout>
            <c:manualLayout>
              <c:xMode val="edge"/>
              <c:yMode val="edge"/>
              <c:x val="0.50305269012887899"/>
              <c:y val="0.95714475938534704"/>
            </c:manualLayout>
          </c:layout>
          <c:overlay val="0"/>
        </c:title>
        <c:numFmt formatCode="d\-mmm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6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97838336"/>
        <c:crosses val="autoZero"/>
        <c:auto val="1"/>
        <c:lblOffset val="100"/>
        <c:baseTimeUnit val="days"/>
      </c:dateAx>
      <c:valAx>
        <c:axId val="197838336"/>
        <c:scaling>
          <c:orientation val="minMax"/>
        </c:scaling>
        <c:delete val="0"/>
        <c:axPos val="l"/>
        <c:title>
          <c:tx>
            <c:rich>
              <a:bodyPr rot="-5400000" spcFirstLastPara="0" vertOverflow="ellipsis" vert="horz" wrap="square" anchor="ctr" anchorCtr="1"/>
              <a:lstStyle/>
              <a:p>
                <a:pPr>
                  <a:defRPr lang="zh-CN" sz="1000" b="1" i="0" u="none" strike="noStrike" kern="1200" baseline="0">
                    <a:solidFill>
                      <a:schemeClr val="tx1"/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altLang="zh-CN"/>
                  <a:t>Number</a:t>
                </a:r>
                <a:endParaRPr lang="zh-CN" altLang="en-US"/>
              </a:p>
            </c:rich>
          </c:tx>
          <c:overlay val="0"/>
        </c:title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8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zh-CN"/>
          </a:p>
        </c:txPr>
        <c:crossAx val="197836800"/>
        <c:crosses val="autoZero"/>
        <c:crossBetween val="between"/>
      </c:valAx>
      <c:spPr>
        <a:noFill/>
      </c:spPr>
    </c:plotArea>
    <c:legend>
      <c:legendPos val="r"/>
      <c:layout>
        <c:manualLayout>
          <c:xMode val="edge"/>
          <c:yMode val="edge"/>
          <c:x val="0.86025184665357102"/>
          <c:y val="9.1264299509731098E-2"/>
          <c:w val="0.11873519952508001"/>
          <c:h val="9.3270972088929802E-2"/>
        </c:manualLayout>
      </c:layout>
      <c:overlay val="1"/>
      <c:txPr>
        <a:bodyPr rot="0" spcFirstLastPara="0" vertOverflow="ellipsis" vert="horz" wrap="square" anchor="ctr" anchorCtr="1"/>
        <a:lstStyle/>
        <a:p>
          <a:pPr>
            <a:defRPr lang="zh-CN" sz="10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zh-CN"/>
        </a:p>
      </c:txPr>
    </c:legend>
    <c:plotVisOnly val="1"/>
    <c:dispBlanksAs val="gap"/>
    <c:showDLblsOverMax val="0"/>
  </c:chart>
  <c:spPr>
    <a:noFill/>
    <a:ln w="9525" cap="flat" cmpd="sng" algn="ctr">
      <a:noFill/>
      <a:prstDash val="solid"/>
      <a:round/>
    </a:ln>
  </c:spPr>
  <c:txPr>
    <a:bodyPr/>
    <a:lstStyle/>
    <a:p>
      <a:pPr>
        <a:defRPr lang="zh-CN"/>
      </a:pPr>
      <a:endParaRPr lang="zh-CN"/>
    </a:p>
  </c:txPr>
  <c:externalData r:id="rId1">
    <c:autoUpdate val="0"/>
  </c:externalData>
  <c:userShapes r:id="rId2"/>
</c:chartSpac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0.27915</cdr:x>
      <cdr:y>0.13721</cdr:y>
    </cdr:from>
    <cdr:to>
      <cdr:x>0.29706</cdr:x>
      <cdr:y>0.74141</cdr:y>
    </cdr:to>
    <cdr:grpSp>
      <cdr:nvGrpSpPr>
        <cdr:cNvPr id="2" name="组合 1"/>
        <cdr:cNvGrpSpPr/>
      </cdr:nvGrpSpPr>
      <cdr:grpSpPr>
        <a:xfrm xmlns:a="http://schemas.openxmlformats.org/drawingml/2006/main">
          <a:off x="2201927" y="564330"/>
          <a:ext cx="141274" cy="2485011"/>
          <a:chOff x="803668" y="1632690"/>
          <a:chExt cx="158778" cy="2684139"/>
        </a:xfrm>
      </cdr:grpSpPr>
      <cdr:cxnSp macro="">
        <cdr:nvCxnSpPr>
          <cdr:cNvPr id="3" name="直接箭头连接符 2"/>
          <cdr:cNvCxnSpPr/>
        </cdr:nvCxnSpPr>
        <cdr:spPr>
          <a:xfrm xmlns:a="http://schemas.openxmlformats.org/drawingml/2006/main" flipH="1">
            <a:off x="962151" y="1632690"/>
            <a:ext cx="295" cy="2684139"/>
          </a:xfrm>
          <a:prstGeom xmlns:a="http://schemas.openxmlformats.org/drawingml/2006/main" prst="straightConnector1">
            <a:avLst/>
          </a:prstGeom>
          <a:ln xmlns:a="http://schemas.openxmlformats.org/drawingml/2006/main">
            <a:solidFill>
              <a:schemeClr val="tx1"/>
            </a:solidFill>
            <a:tailEnd type="arrow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cxnSp macro="">
        <cdr:nvCxnSpPr>
          <cdr:cNvPr id="4" name="直接连接符 3"/>
          <cdr:cNvCxnSpPr/>
        </cdr:nvCxnSpPr>
        <cdr:spPr>
          <a:xfrm xmlns:a="http://schemas.openxmlformats.org/drawingml/2006/main">
            <a:off x="803668" y="1632690"/>
            <a:ext cx="152411" cy="0"/>
          </a:xfrm>
          <a:prstGeom xmlns:a="http://schemas.openxmlformats.org/drawingml/2006/main" prst="line">
            <a:avLst/>
          </a:prstGeom>
          <a:ln xmlns:a="http://schemas.openxmlformats.org/drawingml/2006/main">
            <a:solidFill>
              <a:schemeClr val="tx1"/>
            </a:solidFill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</cdr:grpSp>
  </cdr:relSizeAnchor>
  <cdr:relSizeAnchor xmlns:cdr="http://schemas.openxmlformats.org/drawingml/2006/chartDrawing">
    <cdr:from>
      <cdr:x>0.2691</cdr:x>
      <cdr:y>0.32228</cdr:y>
    </cdr:from>
    <cdr:to>
      <cdr:x>0.28629</cdr:x>
      <cdr:y>0.72548</cdr:y>
    </cdr:to>
    <cdr:grpSp>
      <cdr:nvGrpSpPr>
        <cdr:cNvPr id="5" name="组合 4"/>
        <cdr:cNvGrpSpPr/>
      </cdr:nvGrpSpPr>
      <cdr:grpSpPr>
        <a:xfrm xmlns:a="http://schemas.openxmlformats.org/drawingml/2006/main">
          <a:off x="2122653" y="1325504"/>
          <a:ext cx="135594" cy="1658319"/>
          <a:chOff x="535392" y="3251640"/>
          <a:chExt cx="152411" cy="1791205"/>
        </a:xfrm>
      </cdr:grpSpPr>
      <cdr:cxnSp macro="">
        <cdr:nvCxnSpPr>
          <cdr:cNvPr id="6" name="直接箭头连接符 5"/>
          <cdr:cNvCxnSpPr/>
        </cdr:nvCxnSpPr>
        <cdr:spPr>
          <a:xfrm xmlns:a="http://schemas.openxmlformats.org/drawingml/2006/main">
            <a:off x="685487" y="3254135"/>
            <a:ext cx="0" cy="1788710"/>
          </a:xfrm>
          <a:prstGeom xmlns:a="http://schemas.openxmlformats.org/drawingml/2006/main" prst="straightConnector1">
            <a:avLst/>
          </a:prstGeom>
          <a:ln xmlns:a="http://schemas.openxmlformats.org/drawingml/2006/main">
            <a:solidFill>
              <a:schemeClr val="tx1"/>
            </a:solidFill>
            <a:tailEnd type="arrow"/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  <cdr:cxnSp macro="">
        <cdr:nvCxnSpPr>
          <cdr:cNvPr id="7" name="直接连接符 6"/>
          <cdr:cNvCxnSpPr/>
        </cdr:nvCxnSpPr>
        <cdr:spPr>
          <a:xfrm xmlns:a="http://schemas.openxmlformats.org/drawingml/2006/main">
            <a:off x="535392" y="3251640"/>
            <a:ext cx="152411" cy="0"/>
          </a:xfrm>
          <a:prstGeom xmlns:a="http://schemas.openxmlformats.org/drawingml/2006/main" prst="line">
            <a:avLst/>
          </a:prstGeom>
          <a:ln xmlns:a="http://schemas.openxmlformats.org/drawingml/2006/main">
            <a:solidFill>
              <a:schemeClr val="tx1"/>
            </a:solidFill>
          </a:ln>
        </cdr:spPr>
        <cdr:style>
          <a:lnRef xmlns:a="http://schemas.openxmlformats.org/drawingml/2006/main" idx="1">
            <a:schemeClr val="accent1"/>
          </a:lnRef>
          <a:fillRef xmlns:a="http://schemas.openxmlformats.org/drawingml/2006/main" idx="0">
            <a:schemeClr val="accent1"/>
          </a:fillRef>
          <a:effectRef xmlns:a="http://schemas.openxmlformats.org/drawingml/2006/main" idx="0">
            <a:schemeClr val="accent1"/>
          </a:effectRef>
          <a:fontRef xmlns:a="http://schemas.openxmlformats.org/drawingml/2006/main" idx="minor">
            <a:schemeClr val="tx1"/>
          </a:fontRef>
        </cdr:style>
      </cdr:cxnSp>
    </cdr:grpSp>
  </cdr:relSizeAnchor>
  <cdr:relSizeAnchor xmlns:cdr="http://schemas.openxmlformats.org/drawingml/2006/chartDrawing">
    <cdr:from>
      <cdr:x>0.09103</cdr:x>
      <cdr:y>0.07658</cdr:y>
    </cdr:from>
    <cdr:to>
      <cdr:x>0.28032</cdr:x>
      <cdr:y>0.27705</cdr:y>
    </cdr:to>
    <cdr:sp macro="" textlink="">
      <cdr:nvSpPr>
        <cdr:cNvPr id="8" name="矩形 7"/>
        <cdr:cNvSpPr/>
      </cdr:nvSpPr>
      <cdr:spPr>
        <a:xfrm xmlns:a="http://schemas.openxmlformats.org/drawingml/2006/main">
          <a:off x="806831" y="340213"/>
          <a:ext cx="1677720" cy="89057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defRPr/>
          </a:pPr>
          <a:r>
            <a:rPr lang="en-US" altLang="zh-CN" sz="1000" baseline="0">
              <a:latin typeface="Times New Roman" panose="02020603050405020304" charset="0"/>
              <a:cs typeface="Times New Roman" panose="02020603050405020304" charset="0"/>
            </a:rPr>
            <a:t>The government i</a:t>
          </a:r>
          <a:r>
            <a:rPr lang="en-US" altLang="zh-CN" sz="1000">
              <a:latin typeface="Times New Roman" panose="02020603050405020304" charset="0"/>
              <a:cs typeface="Times New Roman" panose="02020603050405020304" charset="0"/>
            </a:rPr>
            <a:t>nitiated</a:t>
          </a:r>
          <a:r>
            <a:rPr lang="en-US" altLang="zh-CN" sz="1000" baseline="0">
              <a:latin typeface="Times New Roman" panose="02020603050405020304" charset="0"/>
              <a:cs typeface="Times New Roman" panose="02020603050405020304" charset="0"/>
            </a:rPr>
            <a:t> level one </a:t>
          </a:r>
          <a:r>
            <a:rPr lang="en-US" altLang="zh-CN" sz="1000">
              <a:effectLst/>
              <a:latin typeface="Times New Roman" panose="02020603050405020304" charset="0"/>
              <a:ea typeface="+mn-ea"/>
              <a:cs typeface="Times New Roman" panose="02020603050405020304" charset="0"/>
            </a:rPr>
            <a:t>emergency emergency</a:t>
          </a:r>
          <a:r>
            <a:rPr lang="en-US" altLang="zh-CN" sz="1200">
              <a:effectLst/>
              <a:latin typeface="Times New Roman" panose="02020603050405020304" charset="0"/>
              <a:ea typeface="+mn-ea"/>
              <a:cs typeface="Times New Roman" panose="02020603050405020304" charset="0"/>
            </a:rPr>
            <a:t> </a:t>
          </a:r>
          <a:r>
            <a:rPr lang="en-US" altLang="zh-CN" sz="1000" baseline="0">
              <a:latin typeface="Times New Roman" panose="02020603050405020304" charset="0"/>
              <a:cs typeface="Times New Roman" panose="02020603050405020304" charset="0"/>
            </a:rPr>
            <a:t>response in Jiangsu, in 24 Jan, 2020.</a:t>
          </a:r>
          <a:endParaRPr lang="zh-CN" altLang="en-US" sz="1000">
            <a:latin typeface="Times New Roman" panose="02020603050405020304" charset="0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0.09186</cdr:x>
      <cdr:y>0.25814</cdr:y>
    </cdr:from>
    <cdr:to>
      <cdr:x>0.23718</cdr:x>
      <cdr:y>0.42102</cdr:y>
    </cdr:to>
    <cdr:sp macro="" textlink="">
      <cdr:nvSpPr>
        <cdr:cNvPr id="9" name="矩形 8"/>
        <cdr:cNvSpPr/>
      </cdr:nvSpPr>
      <cdr:spPr>
        <a:xfrm xmlns:a="http://schemas.openxmlformats.org/drawingml/2006/main">
          <a:off x="814146" y="1146798"/>
          <a:ext cx="1288059" cy="72358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defRPr/>
          </a:pPr>
          <a:r>
            <a:rPr lang="en-US" altLang="zh-CN" sz="1000">
              <a:latin typeface="Times New Roman" panose="02020603050405020304" charset="0"/>
              <a:cs typeface="Times New Roman" panose="02020603050405020304" charset="0"/>
            </a:rPr>
            <a:t>Ten confirmed</a:t>
          </a:r>
          <a:r>
            <a:rPr lang="en-US" altLang="zh-CN" sz="1000" baseline="0">
              <a:latin typeface="Times New Roman" panose="02020603050405020304" charset="0"/>
              <a:cs typeface="Times New Roman" panose="02020603050405020304" charset="0"/>
            </a:rPr>
            <a:t> case of </a:t>
          </a:r>
          <a:r>
            <a:rPr lang="en-US" altLang="zh-CN" sz="1000">
              <a:latin typeface="Times New Roman" panose="02020603050405020304" charset="0"/>
              <a:cs typeface="Times New Roman" panose="02020603050405020304" charset="0"/>
            </a:rPr>
            <a:t>COVID-19 were reported.</a:t>
          </a:r>
          <a:r>
            <a:rPr lang="en-US" altLang="zh-CN" sz="1000" baseline="0">
              <a:latin typeface="Times New Roman" panose="02020603050405020304" charset="0"/>
              <a:cs typeface="Times New Roman" panose="02020603050405020304" charset="0"/>
            </a:rPr>
            <a:t> </a:t>
          </a:r>
          <a:endParaRPr lang="zh-CN" altLang="en-US" sz="1000">
            <a:latin typeface="Times New Roman" panose="02020603050405020304" charset="0"/>
            <a:cs typeface="Times New Roman" panose="02020603050405020304" charset="0"/>
          </a:endParaRPr>
        </a:p>
        <a:p xmlns:a="http://schemas.openxmlformats.org/drawingml/2006/main">
          <a:endParaRPr lang="zh-CN" altLang="en-US" sz="1000">
            <a:latin typeface="Times New Roman" panose="02020603050405020304" charset="0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0.43918</cdr:x>
      <cdr:y>0.22762</cdr:y>
    </cdr:from>
    <cdr:to>
      <cdr:x>0.64641</cdr:x>
      <cdr:y>0.45314</cdr:y>
    </cdr:to>
    <cdr:sp macro="" textlink="">
      <cdr:nvSpPr>
        <cdr:cNvPr id="10" name="矩形 9"/>
        <cdr:cNvSpPr/>
      </cdr:nvSpPr>
      <cdr:spPr>
        <a:xfrm xmlns:a="http://schemas.openxmlformats.org/drawingml/2006/main">
          <a:off x="3892580" y="1025654"/>
          <a:ext cx="1836762" cy="101618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r>
            <a:rPr lang="en-US" altLang="zh-CN" sz="1100">
              <a:effectLst/>
              <a:latin typeface="Times New Roman" panose="02020603050405020304" charset="0"/>
              <a:ea typeface="+mn-ea"/>
              <a:cs typeface="Times New Roman" panose="02020603050405020304" charset="0"/>
            </a:rPr>
            <a:t>The government initiated level two emergency response in 25 Feb. 2020.</a:t>
          </a:r>
          <a:endParaRPr lang="zh-CN" altLang="en-US" sz="1100">
            <a:latin typeface="Times New Roman" panose="02020603050405020304" charset="0"/>
            <a:cs typeface="Times New Roman" panose="02020603050405020304" charset="0"/>
          </a:endParaRPr>
        </a:p>
      </cdr:txBody>
    </cdr:sp>
  </cdr:relSizeAnchor>
  <cdr:relSizeAnchor xmlns:cdr="http://schemas.openxmlformats.org/drawingml/2006/chartDrawing">
    <cdr:from>
      <cdr:x>0.62577</cdr:x>
      <cdr:y>0.26878</cdr:y>
    </cdr:from>
    <cdr:to>
      <cdr:x>0.62757</cdr:x>
      <cdr:y>0.83259</cdr:y>
    </cdr:to>
    <cdr:sp macro="" textlink="">
      <cdr:nvSpPr>
        <cdr:cNvPr id="11" name="直接箭头连接符 10"/>
        <cdr:cNvSpPr/>
      </cdr:nvSpPr>
      <cdr:spPr>
        <a:xfrm xmlns:a="http://schemas.openxmlformats.org/drawingml/2006/main" flipH="1">
          <a:off x="5546387" y="1211127"/>
          <a:ext cx="15970" cy="2540488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chemeClr val="tx1"/>
          </a:solidFill>
          <a:tailEnd type="arrow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sp>
  </cdr:relSizeAnchor>
  <cdr:relSizeAnchor xmlns:cdr="http://schemas.openxmlformats.org/drawingml/2006/chartDrawing">
    <cdr:from>
      <cdr:x>0.60948</cdr:x>
      <cdr:y>0.26899</cdr:y>
    </cdr:from>
    <cdr:to>
      <cdr:x>0.62667</cdr:x>
      <cdr:y>0.26899</cdr:y>
    </cdr:to>
    <cdr:sp macro="" textlink="">
      <cdr:nvSpPr>
        <cdr:cNvPr id="12" name="直接连接符 11"/>
        <cdr:cNvSpPr/>
      </cdr:nvSpPr>
      <cdr:spPr>
        <a:xfrm xmlns:a="http://schemas.openxmlformats.org/drawingml/2006/main">
          <a:off x="5402004" y="1212069"/>
          <a:ext cx="152409" cy="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sp>
  </cdr:relSizeAnchor>
  <cdr:relSizeAnchor xmlns:cdr="http://schemas.openxmlformats.org/drawingml/2006/chartDrawing">
    <cdr:from>
      <cdr:x>0.74527</cdr:x>
      <cdr:y>0.23344</cdr:y>
    </cdr:from>
    <cdr:to>
      <cdr:x>0.94353</cdr:x>
      <cdr:y>0.3838</cdr:y>
    </cdr:to>
    <cdr:sp macro="" textlink="">
      <cdr:nvSpPr>
        <cdr:cNvPr id="13" name="矩形 12"/>
        <cdr:cNvSpPr/>
      </cdr:nvSpPr>
      <cdr:spPr>
        <a:xfrm xmlns:a="http://schemas.openxmlformats.org/drawingml/2006/main">
          <a:off x="6605572" y="1051881"/>
          <a:ext cx="1757242" cy="677486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="horz" wrap="square" lIns="45720" tIns="45720" rIns="45720" bIns="45720" rtlCol="0" anchor="t" anchorCtr="0">
          <a:normAutofit/>
        </a:bodyPr>
        <a:lstStyle xmlns:a="http://schemas.openxmlformats.org/drawingml/2006/main">
          <a:lvl1pPr marL="0" indent="0">
            <a:defRPr sz="1100">
              <a:latin typeface="+mn-lt"/>
              <a:ea typeface="+mn-ea"/>
              <a:cs typeface="+mn-cs"/>
            </a:defRPr>
          </a:lvl1pPr>
          <a:lvl2pPr marL="457200" indent="0">
            <a:defRPr sz="1100">
              <a:latin typeface="+mn-lt"/>
              <a:ea typeface="+mn-ea"/>
              <a:cs typeface="+mn-cs"/>
            </a:defRPr>
          </a:lvl2pPr>
          <a:lvl3pPr marL="914400" indent="0">
            <a:defRPr sz="1100">
              <a:latin typeface="+mn-lt"/>
              <a:ea typeface="+mn-ea"/>
              <a:cs typeface="+mn-cs"/>
            </a:defRPr>
          </a:lvl3pPr>
          <a:lvl4pPr marL="1371600" indent="0">
            <a:defRPr sz="1100">
              <a:latin typeface="+mn-lt"/>
              <a:ea typeface="+mn-ea"/>
              <a:cs typeface="+mn-cs"/>
            </a:defRPr>
          </a:lvl4pPr>
          <a:lvl5pPr marL="1828800" indent="0">
            <a:defRPr sz="1100">
              <a:latin typeface="+mn-lt"/>
              <a:ea typeface="+mn-ea"/>
              <a:cs typeface="+mn-cs"/>
            </a:defRPr>
          </a:lvl5pPr>
          <a:lvl6pPr marL="2286000" indent="0">
            <a:defRPr sz="1100">
              <a:latin typeface="+mn-lt"/>
              <a:ea typeface="+mn-ea"/>
              <a:cs typeface="+mn-cs"/>
            </a:defRPr>
          </a:lvl6pPr>
          <a:lvl7pPr marL="2743200" indent="0">
            <a:defRPr sz="1100">
              <a:latin typeface="+mn-lt"/>
              <a:ea typeface="+mn-ea"/>
              <a:cs typeface="+mn-cs"/>
            </a:defRPr>
          </a:lvl7pPr>
          <a:lvl8pPr marL="3200400" indent="0">
            <a:defRPr sz="1100">
              <a:latin typeface="+mn-lt"/>
              <a:ea typeface="+mn-ea"/>
              <a:cs typeface="+mn-cs"/>
            </a:defRPr>
          </a:lvl8pPr>
          <a:lvl9pPr marL="3657600" indent="0">
            <a:defRPr sz="1100">
              <a:latin typeface="+mn-lt"/>
              <a:ea typeface="+mn-ea"/>
              <a:cs typeface="+mn-cs"/>
            </a:defRPr>
          </a:lvl9pPr>
        </a:lstStyle>
        <a:p xmlns:a="http://schemas.openxmlformats.org/drawingml/2006/main">
          <a:pPr marL="0" marR="0" indent="0" defTabSz="914400" eaLnBrk="1" fontAlgn="auto" latinLnBrk="0" hangingPunct="1">
            <a:lnSpc>
              <a:spcPct val="100000"/>
            </a:lnSpc>
            <a:spcBef>
              <a:spcPts val="0"/>
            </a:spcBef>
            <a:spcAft>
              <a:spcPts val="0"/>
            </a:spcAft>
            <a:buClrTx/>
            <a:buSzTx/>
            <a:buFontTx/>
            <a:buNone/>
            <a:defRPr/>
          </a:pPr>
          <a:r>
            <a:rPr lang="en-US" altLang="zh-CN" sz="1100">
              <a:effectLst/>
              <a:latin typeface="+mn-lt"/>
              <a:ea typeface="+mn-ea"/>
              <a:cs typeface="+mn-cs"/>
            </a:rPr>
            <a:t>The government initiated level three emergency response in 28 Mar. 2020.</a:t>
          </a:r>
          <a:endParaRPr lang="zh-CN" altLang="en-US" sz="1100"/>
        </a:p>
      </cdr:txBody>
    </cdr:sp>
  </cdr:relSizeAnchor>
  <cdr:relSizeAnchor xmlns:cdr="http://schemas.openxmlformats.org/drawingml/2006/chartDrawing">
    <cdr:from>
      <cdr:x>0.94622</cdr:x>
      <cdr:y>0.26387</cdr:y>
    </cdr:from>
    <cdr:to>
      <cdr:x>0.94836</cdr:x>
      <cdr:y>0.87491</cdr:y>
    </cdr:to>
    <cdr:sp macro="" textlink="">
      <cdr:nvSpPr>
        <cdr:cNvPr id="14" name="直接箭头连接符 13"/>
        <cdr:cNvSpPr/>
      </cdr:nvSpPr>
      <cdr:spPr>
        <a:xfrm xmlns:a="http://schemas.openxmlformats.org/drawingml/2006/main">
          <a:off x="8386646" y="1189005"/>
          <a:ext cx="18999" cy="2753284"/>
        </a:xfrm>
        <a:prstGeom xmlns:a="http://schemas.openxmlformats.org/drawingml/2006/main" prst="straightConnector1">
          <a:avLst/>
        </a:prstGeom>
        <a:ln xmlns:a="http://schemas.openxmlformats.org/drawingml/2006/main">
          <a:solidFill>
            <a:schemeClr val="tx1"/>
          </a:solidFill>
          <a:tailEnd type="arrow"/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sp>
  </cdr:relSizeAnchor>
  <cdr:relSizeAnchor xmlns:cdr="http://schemas.openxmlformats.org/drawingml/2006/chartDrawing">
    <cdr:from>
      <cdr:x>0.92937</cdr:x>
      <cdr:y>0.26478</cdr:y>
    </cdr:from>
    <cdr:to>
      <cdr:x>0.94657</cdr:x>
      <cdr:y>0.26478</cdr:y>
    </cdr:to>
    <cdr:sp macro="" textlink="">
      <cdr:nvSpPr>
        <cdr:cNvPr id="15" name="直接连接符 14"/>
        <cdr:cNvSpPr/>
      </cdr:nvSpPr>
      <cdr:spPr>
        <a:xfrm xmlns:a="http://schemas.openxmlformats.org/drawingml/2006/main">
          <a:off x="8237349" y="1193074"/>
          <a:ext cx="152409" cy="0"/>
        </a:xfrm>
        <a:prstGeom xmlns:a="http://schemas.openxmlformats.org/drawingml/2006/main" prst="line">
          <a:avLst/>
        </a:prstGeom>
        <a:ln xmlns:a="http://schemas.openxmlformats.org/drawingml/2006/main">
          <a:solidFill>
            <a:schemeClr val="tx1"/>
          </a:solidFill>
        </a:ln>
      </cdr:spPr>
      <cdr:style>
        <a:lnRef xmlns:a="http://schemas.openxmlformats.org/drawingml/2006/main" idx="1">
          <a:schemeClr val="accent1"/>
        </a:lnRef>
        <a:fillRef xmlns:a="http://schemas.openxmlformats.org/drawingml/2006/main" idx="0">
          <a:schemeClr val="accent1"/>
        </a:fillRef>
        <a:effectRef xmlns:a="http://schemas.openxmlformats.org/drawingml/2006/main" idx="0">
          <a:schemeClr val="accent1"/>
        </a:effectRef>
        <a:fontRef xmlns:a="http://schemas.openxmlformats.org/drawingml/2006/main" idx="minor">
          <a:schemeClr val="tx1"/>
        </a:fontRef>
      </cdr:style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268</Words>
  <Characters>1531</Characters>
  <Application>Microsoft Office Word</Application>
  <DocSecurity>0</DocSecurity>
  <Lines>12</Lines>
  <Paragraphs>3</Paragraphs>
  <ScaleCrop>false</ScaleCrop>
  <Company/>
  <LinksUpToDate>false</LinksUpToDate>
  <CharactersWithSpaces>1796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2020-12-31T01:25:00Z</dcterms:created>
  <dcterms:modified xsi:type="dcterms:W3CDTF">2020-12-31T01:49:00Z</dcterms:modified>
</cp:coreProperties>
</file>