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2C93" w14:textId="77777777" w:rsidR="000E1534" w:rsidRPr="00DC7085" w:rsidRDefault="00DC7085">
      <w:pPr>
        <w:rPr>
          <w:rFonts w:ascii="Arial" w:hAnsi="Arial" w:cs="Arial"/>
        </w:rPr>
      </w:pPr>
      <w:r w:rsidRPr="00DC7085">
        <w:rPr>
          <w:rFonts w:ascii="Arial" w:hAnsi="Arial" w:cs="Arial"/>
          <w:noProof/>
        </w:rPr>
        <w:drawing>
          <wp:inline distT="0" distB="0" distL="0" distR="0" wp14:anchorId="5BA19D37" wp14:editId="621932F3">
            <wp:extent cx="6273165" cy="6804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73165" cy="6804025"/>
                    </a:xfrm>
                    <a:prstGeom prst="rect">
                      <a:avLst/>
                    </a:prstGeom>
                    <a:noFill/>
                  </pic:spPr>
                </pic:pic>
              </a:graphicData>
            </a:graphic>
          </wp:inline>
        </w:drawing>
      </w:r>
    </w:p>
    <w:p w14:paraId="44D6E63C" w14:textId="77777777" w:rsidR="00DC7085" w:rsidRPr="00DC7085" w:rsidRDefault="00DC7085">
      <w:pPr>
        <w:rPr>
          <w:rFonts w:ascii="Arial" w:hAnsi="Arial" w:cs="Arial"/>
        </w:rPr>
      </w:pPr>
    </w:p>
    <w:p w14:paraId="034B55AE" w14:textId="77777777" w:rsidR="00DC7085" w:rsidRPr="00DC7085" w:rsidRDefault="00DC7085" w:rsidP="00DC7085">
      <w:pPr>
        <w:rPr>
          <w:rFonts w:ascii="Arial" w:hAnsi="Arial" w:cs="Arial"/>
        </w:rPr>
      </w:pPr>
      <w:r w:rsidRPr="00DC7085">
        <w:rPr>
          <w:rFonts w:ascii="Arial" w:hAnsi="Arial" w:cs="Arial"/>
          <w:b/>
          <w:bCs/>
        </w:rPr>
        <w:t>Figure S1</w:t>
      </w:r>
      <w:r w:rsidRPr="00DC7085">
        <w:rPr>
          <w:rFonts w:ascii="Arial" w:hAnsi="Arial" w:cs="Arial"/>
        </w:rPr>
        <w:t>: Plasma A</w:t>
      </w:r>
      <w:r w:rsidRPr="00DC7085">
        <w:rPr>
          <w:rFonts w:ascii="Arial" w:hAnsi="Arial" w:cs="Arial"/>
          <w:lang w:val="el-GR"/>
        </w:rPr>
        <w:t>β42</w:t>
      </w:r>
      <w:r w:rsidRPr="00DC7085">
        <w:rPr>
          <w:rFonts w:ascii="Arial" w:hAnsi="Arial" w:cs="Arial"/>
        </w:rPr>
        <w:t xml:space="preserve"> (A) and A</w:t>
      </w:r>
      <w:r w:rsidRPr="00DC7085">
        <w:rPr>
          <w:rFonts w:ascii="Arial" w:hAnsi="Arial" w:cs="Arial"/>
          <w:lang w:val="el-GR"/>
        </w:rPr>
        <w:t xml:space="preserve">β40 </w:t>
      </w:r>
      <w:r w:rsidRPr="00DC7085">
        <w:rPr>
          <w:rFonts w:ascii="Arial" w:hAnsi="Arial" w:cs="Arial"/>
        </w:rPr>
        <w:t>(B) levels following CS-6253 injection in the GLP study. A) The effect on A</w:t>
      </w:r>
      <w:r w:rsidRPr="00DC7085">
        <w:rPr>
          <w:rFonts w:ascii="Arial" w:hAnsi="Arial" w:cs="Arial"/>
          <w:lang w:val="el-GR"/>
        </w:rPr>
        <w:t>β42</w:t>
      </w:r>
      <w:r w:rsidRPr="00DC7085">
        <w:rPr>
          <w:rFonts w:ascii="Arial" w:hAnsi="Arial" w:cs="Arial"/>
        </w:rPr>
        <w:t xml:space="preserve"> levels in plasma at 48 h and accumulated treatment over time are significant (p = 0.005 and p = 0.041, respectively. B) The effect on A</w:t>
      </w:r>
      <w:r w:rsidRPr="00DC7085">
        <w:rPr>
          <w:rFonts w:ascii="Arial" w:hAnsi="Arial" w:cs="Arial"/>
          <w:lang w:val="el-GR"/>
        </w:rPr>
        <w:t>β4</w:t>
      </w:r>
      <w:r w:rsidRPr="00DC7085">
        <w:rPr>
          <w:rFonts w:ascii="Arial" w:hAnsi="Arial" w:cs="Arial"/>
        </w:rPr>
        <w:t xml:space="preserve">0 levels in plasma at 4 h, 48 h, and accumulated treatment over time are significant (p &lt; .001, p &lt; .001 and p = 0.013, respectively. The values were shown as percent change from the first measurement point at 5 m p.i. on day 1. </w:t>
      </w:r>
    </w:p>
    <w:p w14:paraId="7C22AB6E" w14:textId="77777777" w:rsidR="00DC7085" w:rsidRPr="00DC7085" w:rsidRDefault="00DC7085">
      <w:pPr>
        <w:rPr>
          <w:rFonts w:ascii="Arial" w:hAnsi="Arial" w:cs="Arial"/>
        </w:rPr>
      </w:pPr>
      <w:r>
        <w:rPr>
          <w:rFonts w:ascii="Arial" w:hAnsi="Arial" w:cs="Arial"/>
          <w:noProof/>
        </w:rPr>
        <w:lastRenderedPageBreak/>
        <w:drawing>
          <wp:inline distT="0" distB="0" distL="0" distR="0" wp14:anchorId="7BC48AA9" wp14:editId="3E08754C">
            <wp:extent cx="5096374" cy="6864096"/>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06237" cy="6877380"/>
                    </a:xfrm>
                    <a:prstGeom prst="rect">
                      <a:avLst/>
                    </a:prstGeom>
                    <a:noFill/>
                  </pic:spPr>
                </pic:pic>
              </a:graphicData>
            </a:graphic>
          </wp:inline>
        </w:drawing>
      </w:r>
    </w:p>
    <w:p w14:paraId="59179625" w14:textId="77777777" w:rsidR="00DC7085" w:rsidRPr="00DC7085" w:rsidRDefault="00DC7085" w:rsidP="00DC7085">
      <w:pPr>
        <w:rPr>
          <w:rFonts w:ascii="Arial" w:hAnsi="Arial" w:cs="Arial"/>
        </w:rPr>
      </w:pPr>
      <w:r w:rsidRPr="00DC7085">
        <w:rPr>
          <w:rFonts w:ascii="Arial" w:hAnsi="Arial" w:cs="Arial"/>
          <w:b/>
          <w:bCs/>
        </w:rPr>
        <w:t>Figure S2</w:t>
      </w:r>
      <w:r w:rsidRPr="00DC7085">
        <w:rPr>
          <w:rFonts w:ascii="Arial" w:hAnsi="Arial" w:cs="Arial"/>
        </w:rPr>
        <w:t>: DRF study plasma and CSF A</w:t>
      </w:r>
      <w:r w:rsidRPr="00DC7085">
        <w:rPr>
          <w:rFonts w:ascii="Arial" w:hAnsi="Arial" w:cs="Arial"/>
          <w:lang w:val="el-GR"/>
        </w:rPr>
        <w:t>β42</w:t>
      </w:r>
      <w:r w:rsidRPr="00DC7085">
        <w:rPr>
          <w:rFonts w:ascii="Arial" w:hAnsi="Arial" w:cs="Arial"/>
        </w:rPr>
        <w:t>, A</w:t>
      </w:r>
      <w:r w:rsidRPr="00DC7085">
        <w:rPr>
          <w:rFonts w:ascii="Arial" w:hAnsi="Arial" w:cs="Arial"/>
          <w:lang w:val="el-GR"/>
        </w:rPr>
        <w:t>β40</w:t>
      </w:r>
      <w:r w:rsidRPr="00DC7085">
        <w:rPr>
          <w:rFonts w:ascii="Arial" w:hAnsi="Arial" w:cs="Arial"/>
        </w:rPr>
        <w:t>, and</w:t>
      </w:r>
      <w:r w:rsidRPr="00DC7085">
        <w:rPr>
          <w:rFonts w:ascii="Arial" w:hAnsi="Arial" w:cs="Arial"/>
          <w:lang w:val="el-GR"/>
        </w:rPr>
        <w:t xml:space="preserve"> </w:t>
      </w:r>
      <w:r w:rsidRPr="00DC7085">
        <w:rPr>
          <w:rFonts w:ascii="Arial" w:hAnsi="Arial" w:cs="Arial"/>
        </w:rPr>
        <w:t>Aβ42/40 and CSF APP and AP2B1 levels. A and B) Both A</w:t>
      </w:r>
      <w:r w:rsidRPr="00DC7085">
        <w:rPr>
          <w:rFonts w:ascii="Arial" w:hAnsi="Arial" w:cs="Arial"/>
          <w:lang w:val="el-GR"/>
        </w:rPr>
        <w:t>β42</w:t>
      </w:r>
      <w:r w:rsidRPr="00DC7085">
        <w:rPr>
          <w:rFonts w:ascii="Arial" w:hAnsi="Arial" w:cs="Arial"/>
        </w:rPr>
        <w:t xml:space="preserve"> and A</w:t>
      </w:r>
      <w:r w:rsidRPr="00DC7085">
        <w:rPr>
          <w:rFonts w:ascii="Arial" w:hAnsi="Arial" w:cs="Arial"/>
          <w:lang w:val="el-GR"/>
        </w:rPr>
        <w:t>β40</w:t>
      </w:r>
      <w:r w:rsidRPr="00DC7085">
        <w:rPr>
          <w:rFonts w:ascii="Arial" w:hAnsi="Arial" w:cs="Arial"/>
        </w:rPr>
        <w:t xml:space="preserve"> levels were non-significantly increased in the plasma of DRF animals. C and D) A</w:t>
      </w:r>
      <w:r w:rsidRPr="00DC7085">
        <w:rPr>
          <w:rFonts w:ascii="Arial" w:hAnsi="Arial" w:cs="Arial"/>
          <w:lang w:val="el-GR"/>
        </w:rPr>
        <w:t xml:space="preserve">β42 </w:t>
      </w:r>
      <w:r w:rsidRPr="00DC7085">
        <w:rPr>
          <w:rFonts w:ascii="Arial" w:hAnsi="Arial" w:cs="Arial"/>
        </w:rPr>
        <w:t>and A</w:t>
      </w:r>
      <w:r w:rsidRPr="00DC7085">
        <w:rPr>
          <w:rFonts w:ascii="Arial" w:hAnsi="Arial" w:cs="Arial"/>
          <w:lang w:val="el-GR"/>
        </w:rPr>
        <w:t xml:space="preserve">β40 </w:t>
      </w:r>
      <w:r w:rsidRPr="00DC7085">
        <w:rPr>
          <w:rFonts w:ascii="Arial" w:hAnsi="Arial" w:cs="Arial"/>
        </w:rPr>
        <w:t>levels in the CSF. E) Although not significant CS-6253, decreased CSF APP levels. F) Similarly, a trend for decreased AP2B1 levels were observed but the changes are not significant. The values were shown as percent change from the baseline measurement.</w:t>
      </w:r>
    </w:p>
    <w:p w14:paraId="78E7EBAB" w14:textId="77777777" w:rsidR="00DC7085" w:rsidRDefault="00DC7085">
      <w:pPr>
        <w:rPr>
          <w:rFonts w:ascii="Arial" w:hAnsi="Arial" w:cs="Arial"/>
        </w:rPr>
      </w:pPr>
      <w:r>
        <w:rPr>
          <w:rFonts w:ascii="Arial" w:hAnsi="Arial" w:cs="Arial"/>
          <w:noProof/>
        </w:rPr>
        <w:lastRenderedPageBreak/>
        <w:drawing>
          <wp:inline distT="0" distB="0" distL="0" distR="0" wp14:anchorId="6588C0D8" wp14:editId="4A5B0F4F">
            <wp:extent cx="5844794" cy="3710329"/>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60752" cy="3720459"/>
                    </a:xfrm>
                    <a:prstGeom prst="rect">
                      <a:avLst/>
                    </a:prstGeom>
                    <a:noFill/>
                  </pic:spPr>
                </pic:pic>
              </a:graphicData>
            </a:graphic>
          </wp:inline>
        </w:drawing>
      </w:r>
    </w:p>
    <w:p w14:paraId="74490457" w14:textId="77777777" w:rsidR="00DC7085" w:rsidRDefault="00DC7085">
      <w:pPr>
        <w:rPr>
          <w:rFonts w:ascii="Arial" w:hAnsi="Arial" w:cs="Arial"/>
        </w:rPr>
      </w:pPr>
    </w:p>
    <w:p w14:paraId="30387C4F" w14:textId="77777777" w:rsidR="00DC7085" w:rsidRPr="00DC7085" w:rsidRDefault="00DC7085" w:rsidP="00DC7085">
      <w:pPr>
        <w:rPr>
          <w:rFonts w:ascii="Arial" w:hAnsi="Arial" w:cs="Arial"/>
        </w:rPr>
      </w:pPr>
      <w:r w:rsidRPr="00DC7085">
        <w:rPr>
          <w:rFonts w:ascii="Arial" w:hAnsi="Arial" w:cs="Arial"/>
          <w:b/>
          <w:bCs/>
        </w:rPr>
        <w:t>Figure S3</w:t>
      </w:r>
      <w:r w:rsidRPr="00DC7085">
        <w:rPr>
          <w:rFonts w:ascii="Arial" w:hAnsi="Arial" w:cs="Arial"/>
        </w:rPr>
        <w:t>: Ion-mobility spectrum of pre-injection monkey plasma lipoproteins’ profile distribution analyzed by Voigt probability distribution curves (R</w:t>
      </w:r>
      <w:r w:rsidRPr="00DC7085">
        <w:rPr>
          <w:rFonts w:ascii="Arial" w:hAnsi="Arial" w:cs="Arial"/>
          <w:vertAlign w:val="superscript"/>
        </w:rPr>
        <w:t>2</w:t>
      </w:r>
      <w:r w:rsidRPr="00DC7085">
        <w:rPr>
          <w:rFonts w:ascii="Arial" w:hAnsi="Arial" w:cs="Arial"/>
        </w:rPr>
        <w:t xml:space="preserve"> = 0.998). </w:t>
      </w:r>
    </w:p>
    <w:p w14:paraId="0205C289" w14:textId="77777777" w:rsidR="00DC7085" w:rsidRDefault="00DC7085">
      <w:pPr>
        <w:rPr>
          <w:rFonts w:ascii="Arial" w:hAnsi="Arial" w:cs="Arial"/>
        </w:rPr>
      </w:pPr>
    </w:p>
    <w:p w14:paraId="3204C176" w14:textId="77777777" w:rsidR="00DC7085" w:rsidRDefault="00DC7085">
      <w:pPr>
        <w:rPr>
          <w:rFonts w:ascii="Arial" w:hAnsi="Arial" w:cs="Arial"/>
        </w:rPr>
      </w:pPr>
      <w:r>
        <w:rPr>
          <w:rFonts w:ascii="Arial" w:hAnsi="Arial" w:cs="Arial"/>
        </w:rPr>
        <w:br w:type="page"/>
      </w:r>
    </w:p>
    <w:p w14:paraId="7B7E8E7A" w14:textId="77777777" w:rsidR="00DC7085" w:rsidRDefault="007A1D83">
      <w:pPr>
        <w:rPr>
          <w:rFonts w:ascii="Arial" w:hAnsi="Arial" w:cs="Arial"/>
        </w:rPr>
      </w:pPr>
      <w:r>
        <w:rPr>
          <w:rFonts w:ascii="Arial" w:hAnsi="Arial" w:cs="Arial"/>
          <w:noProof/>
        </w:rPr>
        <w:lastRenderedPageBreak/>
        <w:drawing>
          <wp:inline distT="0" distB="0" distL="0" distR="0" wp14:anchorId="226738AC" wp14:editId="6CF5D255">
            <wp:extent cx="6139180" cy="6840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9180" cy="6840220"/>
                    </a:xfrm>
                    <a:prstGeom prst="rect">
                      <a:avLst/>
                    </a:prstGeom>
                    <a:noFill/>
                  </pic:spPr>
                </pic:pic>
              </a:graphicData>
            </a:graphic>
          </wp:inline>
        </w:drawing>
      </w:r>
    </w:p>
    <w:p w14:paraId="412CE185" w14:textId="77777777" w:rsidR="007A1D83" w:rsidRPr="007A1D83" w:rsidRDefault="007A1D83" w:rsidP="007A1D83">
      <w:pPr>
        <w:rPr>
          <w:rFonts w:ascii="Arial" w:hAnsi="Arial" w:cs="Arial"/>
        </w:rPr>
      </w:pPr>
      <w:r w:rsidRPr="007A1D83">
        <w:rPr>
          <w:rFonts w:ascii="Arial" w:hAnsi="Arial" w:cs="Arial"/>
          <w:b/>
          <w:bCs/>
        </w:rPr>
        <w:t>Figure S4</w:t>
      </w:r>
      <w:r w:rsidRPr="007A1D83">
        <w:rPr>
          <w:rFonts w:ascii="Arial" w:hAnsi="Arial" w:cs="Arial"/>
        </w:rPr>
        <w:t xml:space="preserve">: Analysis of IDL, LDL, Midzone, and VLDL particles A) for one monkey in the pilot study and B) for one monkey in the DRF study. Particle concentrations in the plasma were calculated using ion-mobility analysis. </w:t>
      </w:r>
    </w:p>
    <w:p w14:paraId="71D48740" w14:textId="77777777" w:rsidR="003F1630" w:rsidRDefault="003F1630">
      <w:pPr>
        <w:rPr>
          <w:rFonts w:ascii="Arial" w:hAnsi="Arial" w:cs="Arial"/>
        </w:rPr>
      </w:pPr>
    </w:p>
    <w:p w14:paraId="01559D96" w14:textId="77777777" w:rsidR="003F1630" w:rsidRDefault="003F1630">
      <w:pPr>
        <w:rPr>
          <w:rFonts w:ascii="Arial" w:hAnsi="Arial" w:cs="Arial"/>
        </w:rPr>
      </w:pPr>
    </w:p>
    <w:tbl>
      <w:tblPr>
        <w:tblW w:w="97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10"/>
        <w:gridCol w:w="2145"/>
        <w:gridCol w:w="2730"/>
        <w:gridCol w:w="2850"/>
      </w:tblGrid>
      <w:tr w:rsidR="003F1630" w14:paraId="6F28857C"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C8B365E" w14:textId="77777777" w:rsidR="003F1630" w:rsidRDefault="003F1630" w:rsidP="003F1630">
            <w:pPr>
              <w:widowControl w:val="0"/>
              <w:spacing w:after="0" w:line="240" w:lineRule="auto"/>
              <w:ind w:left="100" w:right="100"/>
              <w:jc w:val="center"/>
              <w:rPr>
                <w:b/>
                <w:sz w:val="20"/>
                <w:szCs w:val="20"/>
                <w:highlight w:val="white"/>
              </w:rPr>
            </w:pPr>
            <w:r>
              <w:rPr>
                <w:b/>
                <w:sz w:val="20"/>
                <w:szCs w:val="20"/>
                <w:highlight w:val="white"/>
              </w:rPr>
              <w:lastRenderedPageBreak/>
              <w:t>Study Group</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13B19ACE" w14:textId="77777777" w:rsidR="003F1630" w:rsidRDefault="003F1630" w:rsidP="003F1630">
            <w:pPr>
              <w:widowControl w:val="0"/>
              <w:spacing w:after="0" w:line="240" w:lineRule="auto"/>
              <w:ind w:left="100" w:right="100"/>
              <w:jc w:val="center"/>
              <w:rPr>
                <w:b/>
                <w:sz w:val="20"/>
                <w:szCs w:val="20"/>
                <w:highlight w:val="white"/>
              </w:rPr>
            </w:pPr>
            <w:r>
              <w:rPr>
                <w:b/>
                <w:sz w:val="20"/>
                <w:szCs w:val="20"/>
                <w:highlight w:val="white"/>
              </w:rPr>
              <w:t>PK Pilot (San Diego Monkeys)</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1F8C89EF" w14:textId="77777777" w:rsidR="003F1630" w:rsidRDefault="003F1630" w:rsidP="003F1630">
            <w:pPr>
              <w:widowControl w:val="0"/>
              <w:spacing w:after="0" w:line="240" w:lineRule="auto"/>
              <w:ind w:left="100" w:right="100"/>
              <w:jc w:val="center"/>
              <w:rPr>
                <w:b/>
                <w:sz w:val="20"/>
                <w:szCs w:val="20"/>
                <w:highlight w:val="white"/>
              </w:rPr>
            </w:pPr>
            <w:r>
              <w:rPr>
                <w:b/>
                <w:sz w:val="20"/>
                <w:szCs w:val="20"/>
                <w:highlight w:val="white"/>
              </w:rPr>
              <w:t xml:space="preserve">Dose-range finding (DRF) Study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D945908" w14:textId="77777777" w:rsidR="003F1630" w:rsidRDefault="003F1630" w:rsidP="003F1630">
            <w:pPr>
              <w:widowControl w:val="0"/>
              <w:spacing w:after="0" w:line="240" w:lineRule="auto"/>
              <w:ind w:left="100" w:right="100"/>
              <w:jc w:val="center"/>
              <w:rPr>
                <w:b/>
                <w:sz w:val="20"/>
                <w:szCs w:val="20"/>
                <w:highlight w:val="white"/>
              </w:rPr>
            </w:pPr>
            <w:r>
              <w:rPr>
                <w:b/>
                <w:sz w:val="20"/>
                <w:szCs w:val="20"/>
                <w:highlight w:val="white"/>
              </w:rPr>
              <w:t>GLP Study (Study 1478.01)</w:t>
            </w:r>
          </w:p>
        </w:tc>
      </w:tr>
      <w:tr w:rsidR="003F1630" w14:paraId="47E8ED97" w14:textId="77777777" w:rsidTr="000202E6">
        <w:trPr>
          <w:trHeight w:val="50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095D060"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Cynomolgus monkeys: n= sex / age / weight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E679CC3"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2 male / 8 years old / 5 kg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7F5ACEC"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8 male &amp; 8 females / 2 years, 3 months – 2 years, 10 months / 2.0 – 2.6 kg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6F7B508"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9-16 male &amp; 9-16 female / 2-4 years old / males: 2.19 to 2.5 kg, females: 2.14 to 3.04 kg</w:t>
            </w:r>
          </w:p>
        </w:tc>
      </w:tr>
      <w:tr w:rsidR="003F1630" w14:paraId="6F94A5EF" w14:textId="77777777" w:rsidTr="000202E6">
        <w:trPr>
          <w:trHeight w:val="68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DEF9318"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Dosing (iv injection) regimen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7AEAE65E"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single dose, 25 mg/kg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0949E82"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Plc, 75, 150, 225 mg/kg, q.a.d. for 11 days (5 injections)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091AC89"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Plc, 10, 25, 75 mg/kg q.a.d. for 30 days (15 injections) </w:t>
            </w:r>
          </w:p>
        </w:tc>
      </w:tr>
      <w:tr w:rsidR="003F1630" w14:paraId="175C0E5F"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4AEBB6F"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PK (PD) curve start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E596F36"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Day 1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80C34F2"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Days 1 and 9 (5</w:t>
            </w:r>
            <w:r w:rsidRPr="0050062C">
              <w:rPr>
                <w:sz w:val="20"/>
                <w:szCs w:val="20"/>
                <w:highlight w:val="white"/>
                <w:vertAlign w:val="superscript"/>
              </w:rPr>
              <w:t>th</w:t>
            </w:r>
            <w:r>
              <w:rPr>
                <w:sz w:val="20"/>
                <w:szCs w:val="20"/>
                <w:highlight w:val="white"/>
              </w:rPr>
              <w:t xml:space="preserve"> injection)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75808F2"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Days 1, 9, 25 </w:t>
            </w:r>
          </w:p>
        </w:tc>
      </w:tr>
      <w:tr w:rsidR="003F1630" w14:paraId="1B322CF7" w14:textId="77777777" w:rsidTr="000202E6">
        <w:trPr>
          <w:trHeight w:val="72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1A01FEA"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Tissue collection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6F51FD6"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Plasma </w:t>
            </w:r>
          </w:p>
          <w:p w14:paraId="74D327AF"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Before &amp; after injection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3A667B2" w14:textId="77777777" w:rsidR="003F1630" w:rsidRDefault="003F1630" w:rsidP="003F1630">
            <w:pPr>
              <w:widowControl w:val="0"/>
              <w:spacing w:after="0" w:line="240" w:lineRule="auto"/>
              <w:ind w:left="100" w:right="100"/>
              <w:rPr>
                <w:sz w:val="20"/>
                <w:szCs w:val="20"/>
              </w:rPr>
            </w:pPr>
            <w:r>
              <w:rPr>
                <w:sz w:val="20"/>
                <w:szCs w:val="20"/>
              </w:rPr>
              <w:t xml:space="preserve">Plasma and CSF </w:t>
            </w:r>
          </w:p>
          <w:p w14:paraId="01E51313" w14:textId="77777777" w:rsidR="003F1630" w:rsidRDefault="003F1630" w:rsidP="003F1630">
            <w:pPr>
              <w:widowControl w:val="0"/>
              <w:spacing w:after="0" w:line="240" w:lineRule="auto"/>
              <w:ind w:left="100" w:right="100"/>
              <w:rPr>
                <w:sz w:val="20"/>
                <w:szCs w:val="20"/>
              </w:rPr>
            </w:pPr>
            <w:r>
              <w:rPr>
                <w:sz w:val="20"/>
                <w:szCs w:val="20"/>
              </w:rPr>
              <w:t>Before &amp; after 1</w:t>
            </w:r>
            <w:r>
              <w:rPr>
                <w:sz w:val="20"/>
                <w:szCs w:val="20"/>
                <w:vertAlign w:val="superscript"/>
              </w:rPr>
              <w:t>st</w:t>
            </w:r>
            <w:r>
              <w:rPr>
                <w:sz w:val="20"/>
                <w:szCs w:val="20"/>
              </w:rPr>
              <w:t xml:space="preserve"> and 5</w:t>
            </w:r>
            <w:r>
              <w:rPr>
                <w:sz w:val="20"/>
                <w:szCs w:val="20"/>
                <w:vertAlign w:val="superscript"/>
              </w:rPr>
              <w:t>th</w:t>
            </w:r>
            <w:r>
              <w:rPr>
                <w:sz w:val="20"/>
                <w:szCs w:val="20"/>
              </w:rPr>
              <w:t xml:space="preserve"> injection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C197999" w14:textId="77777777" w:rsidR="003F1630" w:rsidRDefault="003F1630" w:rsidP="003F1630">
            <w:pPr>
              <w:widowControl w:val="0"/>
              <w:spacing w:after="0" w:line="240" w:lineRule="auto"/>
              <w:rPr>
                <w:sz w:val="20"/>
                <w:szCs w:val="20"/>
              </w:rPr>
            </w:pPr>
            <w:r>
              <w:rPr>
                <w:sz w:val="20"/>
                <w:szCs w:val="20"/>
              </w:rPr>
              <w:t xml:space="preserve">Plasma </w:t>
            </w:r>
          </w:p>
          <w:p w14:paraId="085AB72F" w14:textId="77777777" w:rsidR="003F1630" w:rsidRDefault="003F1630" w:rsidP="003F1630">
            <w:pPr>
              <w:widowControl w:val="0"/>
              <w:spacing w:after="0" w:line="240" w:lineRule="auto"/>
              <w:rPr>
                <w:sz w:val="20"/>
                <w:szCs w:val="20"/>
              </w:rPr>
            </w:pPr>
            <w:r>
              <w:rPr>
                <w:sz w:val="20"/>
                <w:szCs w:val="20"/>
              </w:rPr>
              <w:t>After 1</w:t>
            </w:r>
            <w:r>
              <w:rPr>
                <w:sz w:val="20"/>
                <w:szCs w:val="20"/>
                <w:vertAlign w:val="superscript"/>
              </w:rPr>
              <w:t>st</w:t>
            </w:r>
            <w:r>
              <w:rPr>
                <w:sz w:val="20"/>
                <w:szCs w:val="20"/>
              </w:rPr>
              <w:t>, 5</w:t>
            </w:r>
            <w:r>
              <w:rPr>
                <w:sz w:val="20"/>
                <w:szCs w:val="20"/>
                <w:vertAlign w:val="superscript"/>
              </w:rPr>
              <w:t>th</w:t>
            </w:r>
            <w:r>
              <w:rPr>
                <w:sz w:val="20"/>
                <w:szCs w:val="20"/>
              </w:rPr>
              <w:t xml:space="preserve"> &amp; 13</w:t>
            </w:r>
            <w:r>
              <w:rPr>
                <w:sz w:val="20"/>
                <w:szCs w:val="20"/>
                <w:vertAlign w:val="superscript"/>
              </w:rPr>
              <w:t>th</w:t>
            </w:r>
            <w:r>
              <w:rPr>
                <w:sz w:val="20"/>
                <w:szCs w:val="20"/>
              </w:rPr>
              <w:t xml:space="preserve"> injection </w:t>
            </w:r>
          </w:p>
        </w:tc>
      </w:tr>
      <w:tr w:rsidR="003F1630" w14:paraId="431F4A26"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EF3BD9E"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PK:</w:t>
            </w:r>
            <w:r>
              <w:rPr>
                <w:sz w:val="20"/>
                <w:szCs w:val="20"/>
                <w:highlight w:val="white"/>
              </w:rPr>
              <w:tab/>
              <w:t xml:space="preserve">CS-6253 half-life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17BE57F4"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20h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7C40E15C" w14:textId="77777777" w:rsidR="003F1630" w:rsidRDefault="003F1630" w:rsidP="003F1630">
            <w:pPr>
              <w:widowControl w:val="0"/>
              <w:spacing w:after="0" w:line="240" w:lineRule="auto"/>
              <w:ind w:left="100" w:right="100"/>
              <w:rPr>
                <w:sz w:val="20"/>
                <w:szCs w:val="20"/>
              </w:rPr>
            </w:pPr>
            <w:r>
              <w:rPr>
                <w:sz w:val="20"/>
                <w:szCs w:val="20"/>
              </w:rPr>
              <w:t xml:space="preserve">12-16 h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0128FB0" w14:textId="77777777" w:rsidR="003F1630" w:rsidRDefault="003F1630" w:rsidP="003F1630">
            <w:pPr>
              <w:widowControl w:val="0"/>
              <w:spacing w:after="0" w:line="240" w:lineRule="auto"/>
              <w:ind w:left="100" w:right="100"/>
              <w:rPr>
                <w:sz w:val="20"/>
                <w:szCs w:val="20"/>
              </w:rPr>
            </w:pPr>
            <w:r>
              <w:rPr>
                <w:sz w:val="20"/>
                <w:szCs w:val="20"/>
              </w:rPr>
              <w:t xml:space="preserve">11-19h </w:t>
            </w:r>
          </w:p>
        </w:tc>
      </w:tr>
      <w:tr w:rsidR="003F1630" w14:paraId="38F30090"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26C6D45"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PD-lipids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4A8C543"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9A462F9" w14:textId="77777777" w:rsidR="003F1630" w:rsidRDefault="003F1630" w:rsidP="003F1630">
            <w:pPr>
              <w:widowControl w:val="0"/>
              <w:spacing w:after="0" w:line="240" w:lineRule="auto"/>
              <w:ind w:left="100" w:right="100"/>
              <w:rPr>
                <w:sz w:val="20"/>
                <w:szCs w:val="20"/>
              </w:rPr>
            </w:pPr>
            <w:r>
              <w:rPr>
                <w:sz w:val="20"/>
                <w:szCs w:val="20"/>
              </w:rPr>
              <w:t xml:space="preserve">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275B6CF" w14:textId="77777777" w:rsidR="003F1630" w:rsidRDefault="003F1630" w:rsidP="003F1630">
            <w:pPr>
              <w:widowControl w:val="0"/>
              <w:spacing w:after="0" w:line="240" w:lineRule="auto"/>
              <w:ind w:left="100" w:right="100"/>
              <w:rPr>
                <w:sz w:val="20"/>
                <w:szCs w:val="20"/>
              </w:rPr>
            </w:pPr>
            <w:r>
              <w:rPr>
                <w:sz w:val="20"/>
                <w:szCs w:val="20"/>
              </w:rPr>
              <w:t xml:space="preserve"> </w:t>
            </w:r>
          </w:p>
        </w:tc>
      </w:tr>
      <w:tr w:rsidR="003F1630" w14:paraId="59B5D804" w14:textId="77777777" w:rsidTr="000202E6">
        <w:trPr>
          <w:trHeight w:val="68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5D69543A"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ab/>
              <w:t xml:space="preserve">Plasma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CD10C97"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Preβ-HDL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ADCB653" w14:textId="77777777" w:rsidR="003F1630" w:rsidRDefault="003F1630" w:rsidP="003F1630">
            <w:pPr>
              <w:widowControl w:val="0"/>
              <w:spacing w:after="0" w:line="240" w:lineRule="auto"/>
              <w:ind w:left="100" w:right="100"/>
              <w:rPr>
                <w:sz w:val="20"/>
                <w:szCs w:val="20"/>
              </w:rPr>
            </w:pPr>
            <w:r>
              <w:rPr>
                <w:sz w:val="20"/>
                <w:szCs w:val="20"/>
              </w:rPr>
              <w:t xml:space="preserve">apoA-I, apoE, total cholesterol, triglycerides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04B7435" w14:textId="77777777" w:rsidR="003F1630" w:rsidRDefault="003F1630" w:rsidP="003F1630">
            <w:pPr>
              <w:widowControl w:val="0"/>
              <w:spacing w:after="0" w:line="240" w:lineRule="auto"/>
              <w:ind w:left="100" w:right="100"/>
              <w:rPr>
                <w:sz w:val="20"/>
                <w:szCs w:val="20"/>
              </w:rPr>
            </w:pPr>
            <w:r>
              <w:rPr>
                <w:sz w:val="20"/>
                <w:szCs w:val="20"/>
              </w:rPr>
              <w:t xml:space="preserve">apoA-I, apoE, Cholesterol (total, HDL, LDL), triglycerides  </w:t>
            </w:r>
          </w:p>
        </w:tc>
      </w:tr>
      <w:tr w:rsidR="003F1630" w14:paraId="05A76F1E"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302CE539"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AD biomarkers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5629865"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727D289D" w14:textId="77777777" w:rsidR="003F1630" w:rsidRDefault="003F1630" w:rsidP="003F1630">
            <w:pPr>
              <w:widowControl w:val="0"/>
              <w:spacing w:after="0" w:line="240" w:lineRule="auto"/>
              <w:ind w:left="100" w:right="100"/>
              <w:rPr>
                <w:sz w:val="20"/>
                <w:szCs w:val="20"/>
              </w:rPr>
            </w:pPr>
            <w:r>
              <w:rPr>
                <w:sz w:val="20"/>
                <w:szCs w:val="20"/>
              </w:rPr>
              <w:t xml:space="preserve">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468C0BA4" w14:textId="77777777" w:rsidR="003F1630" w:rsidRDefault="003F1630" w:rsidP="003F1630">
            <w:pPr>
              <w:widowControl w:val="0"/>
              <w:spacing w:after="0" w:line="240" w:lineRule="auto"/>
              <w:ind w:left="100" w:right="100"/>
              <w:rPr>
                <w:sz w:val="20"/>
                <w:szCs w:val="20"/>
              </w:rPr>
            </w:pPr>
            <w:r>
              <w:rPr>
                <w:sz w:val="20"/>
                <w:szCs w:val="20"/>
              </w:rPr>
              <w:t xml:space="preserve"> </w:t>
            </w:r>
          </w:p>
        </w:tc>
      </w:tr>
      <w:tr w:rsidR="003F1630" w14:paraId="171550B3" w14:textId="77777777" w:rsidTr="000202E6">
        <w:trPr>
          <w:trHeight w:val="34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035E91E4"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Plasma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5E0F8FF3"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161238FE" w14:textId="77777777" w:rsidR="003F1630" w:rsidRDefault="003F1630" w:rsidP="003F1630">
            <w:pPr>
              <w:widowControl w:val="0"/>
              <w:spacing w:after="0" w:line="240" w:lineRule="auto"/>
              <w:ind w:left="100" w:right="100"/>
              <w:rPr>
                <w:sz w:val="20"/>
                <w:szCs w:val="20"/>
              </w:rPr>
            </w:pPr>
            <w:r>
              <w:rPr>
                <w:sz w:val="20"/>
                <w:szCs w:val="20"/>
              </w:rPr>
              <w:t xml:space="preserve">Aβ42, Aβ40 </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54212856" w14:textId="77777777" w:rsidR="003F1630" w:rsidRDefault="003F1630" w:rsidP="003F1630">
            <w:pPr>
              <w:widowControl w:val="0"/>
              <w:spacing w:after="0" w:line="240" w:lineRule="auto"/>
              <w:ind w:left="100" w:right="100"/>
              <w:rPr>
                <w:sz w:val="20"/>
                <w:szCs w:val="20"/>
              </w:rPr>
            </w:pPr>
            <w:r>
              <w:rPr>
                <w:sz w:val="20"/>
                <w:szCs w:val="20"/>
              </w:rPr>
              <w:t xml:space="preserve">Aβ42, Aβ40 </w:t>
            </w:r>
          </w:p>
        </w:tc>
      </w:tr>
      <w:tr w:rsidR="003F1630" w14:paraId="79F8D7F1" w14:textId="77777777" w:rsidTr="000202E6">
        <w:trPr>
          <w:trHeight w:val="160"/>
        </w:trPr>
        <w:tc>
          <w:tcPr>
            <w:tcW w:w="201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7C59442"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CSF </w:t>
            </w:r>
          </w:p>
        </w:tc>
        <w:tc>
          <w:tcPr>
            <w:tcW w:w="2145"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61D5686A" w14:textId="77777777" w:rsidR="003F1630" w:rsidRDefault="003F1630" w:rsidP="003F1630">
            <w:pPr>
              <w:widowControl w:val="0"/>
              <w:spacing w:after="0" w:line="240" w:lineRule="auto"/>
              <w:ind w:left="100" w:right="100"/>
              <w:rPr>
                <w:sz w:val="20"/>
                <w:szCs w:val="20"/>
                <w:highlight w:val="white"/>
              </w:rPr>
            </w:pPr>
            <w:r>
              <w:rPr>
                <w:sz w:val="20"/>
                <w:szCs w:val="20"/>
                <w:highlight w:val="white"/>
              </w:rPr>
              <w:t xml:space="preserve"> </w:t>
            </w:r>
          </w:p>
        </w:tc>
        <w:tc>
          <w:tcPr>
            <w:tcW w:w="273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53138C70" w14:textId="77777777" w:rsidR="003F1630" w:rsidRDefault="003F1630" w:rsidP="003F1630">
            <w:pPr>
              <w:widowControl w:val="0"/>
              <w:spacing w:after="0" w:line="240" w:lineRule="auto"/>
              <w:ind w:left="100" w:right="100"/>
              <w:rPr>
                <w:sz w:val="20"/>
                <w:szCs w:val="20"/>
              </w:rPr>
            </w:pPr>
            <w:r>
              <w:rPr>
                <w:sz w:val="20"/>
                <w:szCs w:val="20"/>
              </w:rPr>
              <w:t>Aβ42, Aβ40</w:t>
            </w:r>
          </w:p>
        </w:tc>
        <w:tc>
          <w:tcPr>
            <w:tcW w:w="2850" w:type="dxa"/>
            <w:tcBorders>
              <w:top w:val="single" w:sz="8" w:space="0" w:color="000000"/>
              <w:left w:val="single" w:sz="8" w:space="0" w:color="000000"/>
              <w:bottom w:val="single" w:sz="8" w:space="0" w:color="000000"/>
              <w:right w:val="single" w:sz="8" w:space="0" w:color="000000"/>
            </w:tcBorders>
            <w:tcMar>
              <w:top w:w="140" w:type="dxa"/>
              <w:left w:w="140" w:type="dxa"/>
              <w:bottom w:w="140" w:type="dxa"/>
              <w:right w:w="140" w:type="dxa"/>
            </w:tcMar>
          </w:tcPr>
          <w:p w14:paraId="2FFF8E0A" w14:textId="77777777" w:rsidR="003F1630" w:rsidRDefault="003F1630" w:rsidP="003F1630">
            <w:pPr>
              <w:widowControl w:val="0"/>
              <w:spacing w:after="0" w:line="240" w:lineRule="auto"/>
              <w:ind w:left="100" w:right="100"/>
              <w:rPr>
                <w:sz w:val="20"/>
                <w:szCs w:val="20"/>
              </w:rPr>
            </w:pPr>
            <w:r>
              <w:rPr>
                <w:sz w:val="20"/>
                <w:szCs w:val="20"/>
              </w:rPr>
              <w:t xml:space="preserve"> </w:t>
            </w:r>
          </w:p>
        </w:tc>
      </w:tr>
    </w:tbl>
    <w:p w14:paraId="5A812F3C" w14:textId="77777777" w:rsidR="003F1630" w:rsidRDefault="003F1630">
      <w:pPr>
        <w:rPr>
          <w:rFonts w:ascii="Arial" w:hAnsi="Arial" w:cs="Arial"/>
        </w:rPr>
      </w:pPr>
    </w:p>
    <w:p w14:paraId="28FE0636" w14:textId="77777777" w:rsidR="003F1630" w:rsidRDefault="003F1630">
      <w:pPr>
        <w:rPr>
          <w:rFonts w:ascii="Arial" w:hAnsi="Arial" w:cs="Arial"/>
        </w:rPr>
      </w:pPr>
      <w:r w:rsidRPr="003F1630">
        <w:rPr>
          <w:rFonts w:ascii="Arial" w:hAnsi="Arial" w:cs="Arial"/>
          <w:b/>
        </w:rPr>
        <w:t>Table S1:</w:t>
      </w:r>
      <w:r>
        <w:rPr>
          <w:rFonts w:ascii="Arial" w:hAnsi="Arial" w:cs="Arial"/>
        </w:rPr>
        <w:t xml:space="preserve"> The details of the design of each study.</w:t>
      </w:r>
    </w:p>
    <w:p w14:paraId="3441114C" w14:textId="77777777" w:rsidR="007A1D83" w:rsidRDefault="007A1D83">
      <w:pPr>
        <w:rPr>
          <w:rFonts w:ascii="Arial" w:hAnsi="Arial" w:cs="Arial"/>
        </w:rPr>
      </w:pPr>
      <w:r>
        <w:rPr>
          <w:rFonts w:ascii="Arial" w:hAnsi="Arial" w:cs="Arial"/>
        </w:rPr>
        <w:br w:type="page"/>
      </w:r>
    </w:p>
    <w:p w14:paraId="3F41559E" w14:textId="77777777" w:rsidR="007A1D83" w:rsidRDefault="00466D41">
      <w:pPr>
        <w:rPr>
          <w:rFonts w:ascii="Arial" w:hAnsi="Arial" w:cs="Arial"/>
        </w:rPr>
      </w:pPr>
      <w:r w:rsidRPr="007A1D83">
        <w:rPr>
          <w:rFonts w:ascii="Arial" w:hAnsi="Arial" w:cs="Arial"/>
          <w:noProof/>
        </w:rPr>
        <w:object w:dxaOrig="9360" w:dyaOrig="2570" w14:anchorId="2D92FB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35pt;height:128.3pt;mso-width-percent:0;mso-height-percent:0;mso-width-percent:0;mso-height-percent:0" o:ole="">
            <v:imagedata r:id="rId8" o:title=""/>
          </v:shape>
          <o:OLEObject Type="Embed" ProgID="Word.Document.12" ShapeID="_x0000_i1025" DrawAspect="Content" ObjectID="_1693017632" r:id="rId9">
            <o:FieldCodes>\s</o:FieldCodes>
          </o:OLEObject>
        </w:object>
      </w:r>
    </w:p>
    <w:p w14:paraId="487E7367" w14:textId="77777777" w:rsidR="007A1D83" w:rsidRPr="007A1D83" w:rsidRDefault="003F1630" w:rsidP="007A1D83">
      <w:pPr>
        <w:rPr>
          <w:rFonts w:ascii="Arial" w:hAnsi="Arial" w:cs="Arial"/>
        </w:rPr>
      </w:pPr>
      <w:r>
        <w:rPr>
          <w:rFonts w:ascii="Arial" w:hAnsi="Arial" w:cs="Arial"/>
          <w:b/>
          <w:bCs/>
        </w:rPr>
        <w:t>Table S2</w:t>
      </w:r>
      <w:r w:rsidR="007A1D83" w:rsidRPr="007A1D83">
        <w:rPr>
          <w:rFonts w:ascii="Arial" w:hAnsi="Arial" w:cs="Arial"/>
        </w:rPr>
        <w:t xml:space="preserve">: Concentrations and percent distributions of s-, m-, and l-HDL particles in one monkey’s plasma in the pilot study. </w:t>
      </w:r>
    </w:p>
    <w:p w14:paraId="361E0A90" w14:textId="77777777" w:rsidR="007A1D83" w:rsidRDefault="007A1D83">
      <w:pPr>
        <w:rPr>
          <w:rFonts w:ascii="Arial" w:hAnsi="Arial" w:cs="Arial"/>
        </w:rPr>
      </w:pPr>
    </w:p>
    <w:p w14:paraId="39880F7A" w14:textId="77777777" w:rsidR="007A1D83" w:rsidRDefault="007A1D83">
      <w:pPr>
        <w:rPr>
          <w:rFonts w:ascii="Arial" w:hAnsi="Arial" w:cs="Arial"/>
        </w:rPr>
      </w:pPr>
    </w:p>
    <w:p w14:paraId="33C69B01" w14:textId="77777777" w:rsidR="007A1D83" w:rsidRDefault="007A1D83">
      <w:pPr>
        <w:rPr>
          <w:rFonts w:ascii="Arial" w:hAnsi="Arial" w:cs="Arial"/>
        </w:rPr>
      </w:pPr>
    </w:p>
    <w:p w14:paraId="65354D7A" w14:textId="77777777" w:rsidR="007A1D83" w:rsidRDefault="007A1D83">
      <w:pPr>
        <w:rPr>
          <w:rFonts w:ascii="Arial" w:hAnsi="Arial" w:cs="Arial"/>
        </w:rPr>
      </w:pPr>
    </w:p>
    <w:p w14:paraId="48EA3289" w14:textId="77777777" w:rsidR="007A1D83" w:rsidRPr="00DC7085" w:rsidRDefault="007A1D83">
      <w:pPr>
        <w:rPr>
          <w:rFonts w:ascii="Arial" w:hAnsi="Arial" w:cs="Arial"/>
        </w:rPr>
      </w:pPr>
    </w:p>
    <w:sectPr w:rsidR="007A1D83" w:rsidRPr="00DC70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085"/>
    <w:rsid w:val="000E1534"/>
    <w:rsid w:val="003F1630"/>
    <w:rsid w:val="00466D41"/>
    <w:rsid w:val="007A1D83"/>
    <w:rsid w:val="009B6CF2"/>
    <w:rsid w:val="00DC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9516B"/>
  <w15:chartTrackingRefBased/>
  <w15:docId w15:val="{7E9C914F-3020-4E56-8BDF-158A00D52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F1630"/>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3F1630"/>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3F1630"/>
    <w:rPr>
      <w:sz w:val="16"/>
      <w:szCs w:val="16"/>
    </w:rPr>
  </w:style>
  <w:style w:type="paragraph" w:styleId="BalloonText">
    <w:name w:val="Balloon Text"/>
    <w:basedOn w:val="Normal"/>
    <w:link w:val="BalloonTextChar"/>
    <w:uiPriority w:val="99"/>
    <w:semiHidden/>
    <w:unhideWhenUsed/>
    <w:rsid w:val="003F16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163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213283">
      <w:bodyDiv w:val="1"/>
      <w:marLeft w:val="0"/>
      <w:marRight w:val="0"/>
      <w:marTop w:val="0"/>
      <w:marBottom w:val="0"/>
      <w:divBdr>
        <w:top w:val="none" w:sz="0" w:space="0" w:color="auto"/>
        <w:left w:val="none" w:sz="0" w:space="0" w:color="auto"/>
        <w:bottom w:val="none" w:sz="0" w:space="0" w:color="auto"/>
        <w:right w:val="none" w:sz="0" w:space="0" w:color="auto"/>
      </w:divBdr>
    </w:div>
    <w:div w:id="737361430">
      <w:bodyDiv w:val="1"/>
      <w:marLeft w:val="0"/>
      <w:marRight w:val="0"/>
      <w:marTop w:val="0"/>
      <w:marBottom w:val="0"/>
      <w:divBdr>
        <w:top w:val="none" w:sz="0" w:space="0" w:color="auto"/>
        <w:left w:val="none" w:sz="0" w:space="0" w:color="auto"/>
        <w:bottom w:val="none" w:sz="0" w:space="0" w:color="auto"/>
        <w:right w:val="none" w:sz="0" w:space="0" w:color="auto"/>
      </w:divBdr>
    </w:div>
    <w:div w:id="867253721">
      <w:bodyDiv w:val="1"/>
      <w:marLeft w:val="0"/>
      <w:marRight w:val="0"/>
      <w:marTop w:val="0"/>
      <w:marBottom w:val="0"/>
      <w:divBdr>
        <w:top w:val="none" w:sz="0" w:space="0" w:color="auto"/>
        <w:left w:val="none" w:sz="0" w:space="0" w:color="auto"/>
        <w:bottom w:val="none" w:sz="0" w:space="0" w:color="auto"/>
        <w:right w:val="none" w:sz="0" w:space="0" w:color="auto"/>
      </w:divBdr>
    </w:div>
    <w:div w:id="1563052996">
      <w:bodyDiv w:val="1"/>
      <w:marLeft w:val="0"/>
      <w:marRight w:val="0"/>
      <w:marTop w:val="0"/>
      <w:marBottom w:val="0"/>
      <w:divBdr>
        <w:top w:val="none" w:sz="0" w:space="0" w:color="auto"/>
        <w:left w:val="none" w:sz="0" w:space="0" w:color="auto"/>
        <w:bottom w:val="none" w:sz="0" w:space="0" w:color="auto"/>
        <w:right w:val="none" w:sz="0" w:space="0" w:color="auto"/>
      </w:divBdr>
    </w:div>
    <w:div w:id="159266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package" Target="embeddings/Microsoft_Word_Document.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Kerman</dc:creator>
  <cp:keywords/>
  <dc:description/>
  <cp:lastModifiedBy>Hussein Yassine</cp:lastModifiedBy>
  <cp:revision>2</cp:revision>
  <dcterms:created xsi:type="dcterms:W3CDTF">2021-09-13T12:52:00Z</dcterms:created>
  <dcterms:modified xsi:type="dcterms:W3CDTF">2021-09-13T12:52:00Z</dcterms:modified>
</cp:coreProperties>
</file>