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7D148" w14:textId="54DAD2C7" w:rsidR="00382652" w:rsidRPr="006A063A" w:rsidRDefault="00382652" w:rsidP="00382652">
      <w:p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b/>
          <w:bCs/>
          <w:sz w:val="24"/>
          <w:szCs w:val="24"/>
        </w:rPr>
      </w:pPr>
      <w:proofErr w:type="spellStart"/>
      <w:r w:rsidRPr="006A063A">
        <w:rPr>
          <w:rFonts w:ascii="Arial" w:eastAsia="TimesNewRomanPSMT" w:hAnsi="Arial" w:cs="Arial"/>
          <w:b/>
          <w:bCs/>
          <w:sz w:val="24"/>
          <w:szCs w:val="24"/>
        </w:rPr>
        <w:t>Supplementary</w:t>
      </w:r>
      <w:proofErr w:type="spellEnd"/>
      <w:r w:rsidRPr="006A063A">
        <w:rPr>
          <w:rFonts w:ascii="Arial" w:eastAsia="TimesNewRomanPSMT" w:hAnsi="Arial" w:cs="Arial"/>
          <w:b/>
          <w:bCs/>
          <w:sz w:val="24"/>
          <w:szCs w:val="24"/>
        </w:rPr>
        <w:t xml:space="preserve"> data</w:t>
      </w:r>
    </w:p>
    <w:p w14:paraId="1124B3C4" w14:textId="77777777" w:rsidR="00382652" w:rsidRPr="00193B81" w:rsidRDefault="00382652" w:rsidP="00382652">
      <w:p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b/>
          <w:bCs/>
          <w:sz w:val="18"/>
          <w:szCs w:val="18"/>
          <w:lang w:val="en-GB"/>
        </w:rPr>
      </w:pPr>
      <w:r w:rsidRPr="00193B81">
        <w:rPr>
          <w:rFonts w:ascii="Arial" w:eastAsia="TimesNewRomanPSMT" w:hAnsi="Arial" w:cs="Arial"/>
          <w:b/>
          <w:noProof/>
          <w:sz w:val="18"/>
          <w:szCs w:val="18"/>
          <w:lang w:val="en-GB"/>
        </w:rPr>
        <w:drawing>
          <wp:inline distT="0" distB="0" distL="0" distR="0" wp14:anchorId="6205DA4A" wp14:editId="159429B1">
            <wp:extent cx="5074920" cy="2506980"/>
            <wp:effectExtent l="0" t="0" r="0" b="7620"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11C60" w14:textId="102C8FD7" w:rsidR="00382652" w:rsidRPr="00193B81" w:rsidRDefault="00382652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  <w:r w:rsidRPr="00193B81">
        <w:rPr>
          <w:rFonts w:ascii="Arial" w:eastAsia="TimesNewRomanPSMT" w:hAnsi="Arial" w:cs="Arial"/>
          <w:b/>
          <w:bCs/>
          <w:sz w:val="18"/>
          <w:szCs w:val="18"/>
          <w:lang w:val="en-GB"/>
        </w:rPr>
        <w:t>Supplementary Fig</w:t>
      </w:r>
      <w:r w:rsidR="00193B81">
        <w:rPr>
          <w:rFonts w:ascii="Arial" w:eastAsia="TimesNewRomanPSMT" w:hAnsi="Arial" w:cs="Arial"/>
          <w:b/>
          <w:bCs/>
          <w:sz w:val="18"/>
          <w:szCs w:val="18"/>
          <w:lang w:val="en-GB"/>
        </w:rPr>
        <w:t>.</w:t>
      </w:r>
      <w:r w:rsidRPr="00193B81">
        <w:rPr>
          <w:rFonts w:ascii="Arial" w:eastAsia="TimesNewRomanPSMT" w:hAnsi="Arial" w:cs="Arial"/>
          <w:b/>
          <w:bCs/>
          <w:sz w:val="18"/>
          <w:szCs w:val="18"/>
          <w:lang w:val="en-GB"/>
        </w:rPr>
        <w:t xml:space="preserve"> 1 </w:t>
      </w:r>
      <w:r w:rsidRPr="00193B81">
        <w:rPr>
          <w:rFonts w:ascii="Arial" w:eastAsia="TimesNewRomanPSMT" w:hAnsi="Arial" w:cs="Arial"/>
          <w:sz w:val="18"/>
          <w:szCs w:val="18"/>
          <w:lang w:val="en-GB"/>
        </w:rPr>
        <w:t xml:space="preserve">FGFR1 CNVs in TARGET-NB samples. </w:t>
      </w:r>
      <w:r w:rsidR="007F54F0" w:rsidRPr="00193B81">
        <w:rPr>
          <w:rFonts w:ascii="Arial" w:eastAsia="TimesNewRomanPSMT" w:hAnsi="Arial" w:cs="Arial"/>
          <w:sz w:val="18"/>
          <w:szCs w:val="18"/>
          <w:lang w:val="en-GB"/>
        </w:rPr>
        <w:t>(</w:t>
      </w:r>
      <w:r w:rsidRPr="00193B81">
        <w:rPr>
          <w:rFonts w:ascii="Arial" w:eastAsia="TimesNewRomanPSMT" w:hAnsi="Arial" w:cs="Arial"/>
          <w:sz w:val="18"/>
          <w:szCs w:val="18"/>
          <w:lang w:val="en-GB"/>
        </w:rPr>
        <w:t xml:space="preserve">A) Histogram reporting the distribution (y axis) of segmented Log R Ratio LRR values (x axis) for the cohort of 381 samples in the TARGET-NB project. Red vertical lines represent the </w:t>
      </w:r>
      <w:proofErr w:type="spellStart"/>
      <w:r w:rsidRPr="00193B81">
        <w:rPr>
          <w:rFonts w:ascii="Arial" w:eastAsia="TimesNewRomanPSMT" w:hAnsi="Arial" w:cs="Arial"/>
          <w:sz w:val="18"/>
          <w:szCs w:val="18"/>
          <w:lang w:val="en-GB"/>
        </w:rPr>
        <w:t>cutoffs</w:t>
      </w:r>
      <w:proofErr w:type="spellEnd"/>
      <w:r w:rsidRPr="00193B81">
        <w:rPr>
          <w:rFonts w:ascii="Arial" w:eastAsia="TimesNewRomanPSMT" w:hAnsi="Arial" w:cs="Arial"/>
          <w:sz w:val="18"/>
          <w:szCs w:val="18"/>
          <w:lang w:val="en-GB"/>
        </w:rPr>
        <w:t xml:space="preserve"> we used to call copy number (CN) changes. LOSS: LRR &lt; -0.42(CN&lt;1.5); NORMAL: -0.42 ≥ LRR &gt; 0.58 (CN ranging from 1.5 to 3); GAIN: 0.58 ≥ LRR &gt; 1.3 (CN ranging from 3 to 4.9); AMPLIFICATION: LRR ≥ 1.3 (CN≥4.9). </w:t>
      </w:r>
      <w:r w:rsidR="007F54F0" w:rsidRPr="00193B81">
        <w:rPr>
          <w:rFonts w:ascii="Arial" w:eastAsia="TimesNewRomanPSMT" w:hAnsi="Arial" w:cs="Arial"/>
          <w:sz w:val="18"/>
          <w:szCs w:val="18"/>
          <w:lang w:val="en-GB"/>
        </w:rPr>
        <w:t>(</w:t>
      </w:r>
      <w:r w:rsidRPr="00193B81">
        <w:rPr>
          <w:rFonts w:ascii="Arial" w:eastAsia="TimesNewRomanPSMT" w:hAnsi="Arial" w:cs="Arial"/>
          <w:sz w:val="18"/>
          <w:szCs w:val="18"/>
          <w:lang w:val="en-GB"/>
        </w:rPr>
        <w:t>B) Bar plot showing the three CN categories we identified by using the thresholds described above</w:t>
      </w:r>
    </w:p>
    <w:p w14:paraId="537A753A" w14:textId="1A811146" w:rsidR="00382652" w:rsidRDefault="00382652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6480609A" w14:textId="2C06DA4D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1DF17419" w14:textId="52FF986E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32879A64" w14:textId="173AAD6C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411BB976" w14:textId="5FA6CAAB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1CB9E40E" w14:textId="226EB013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0B658B38" w14:textId="519A8D4E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312BB863" w14:textId="754D79A4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384073F3" w14:textId="1BAD165C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5A3F7C2C" w14:textId="508B7907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11AEE19B" w14:textId="7D11A589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29087BBF" w14:textId="45801558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5DBFAB55" w14:textId="1D1CB7F8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71CA61A2" w14:textId="7C107B0F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1F4DEE5B" w14:textId="0BBDCEF0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0BB8714E" w14:textId="3DDF85F1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432248C4" w14:textId="154E555B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792D48D7" w14:textId="59505691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7A15D941" w14:textId="333C97FD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369F84AD" w14:textId="20B1AA6E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5AE3FFAC" w14:textId="77D44EC9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26DF650A" w14:textId="6333F963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5BF3331D" w14:textId="1BFCCBCF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4C2389BB" w14:textId="0A67BA5B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4864EC5B" w14:textId="62CC3AD8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4FFA5DDD" w14:textId="52EFC89E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53F02D5D" w14:textId="40092C11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3AEC5581" w14:textId="1798FABA" w:rsidR="00282CDA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62D76246" w14:textId="77777777" w:rsidR="00282CDA" w:rsidRPr="00193B81" w:rsidRDefault="00282CDA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</w:p>
    <w:p w14:paraId="1BF0108F" w14:textId="77777777" w:rsidR="00382652" w:rsidRPr="00193B81" w:rsidRDefault="00382652" w:rsidP="0038265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18"/>
          <w:szCs w:val="18"/>
          <w:lang w:val="en-GB"/>
        </w:rPr>
      </w:pPr>
      <w:r w:rsidRPr="00193B81">
        <w:rPr>
          <w:rFonts w:ascii="Arial" w:eastAsia="TimesNewRomanPSMT" w:hAnsi="Arial" w:cs="Arial"/>
          <w:noProof/>
          <w:sz w:val="18"/>
          <w:szCs w:val="18"/>
          <w:lang w:val="en-GB"/>
        </w:rPr>
        <w:lastRenderedPageBreak/>
        <w:drawing>
          <wp:inline distT="0" distB="0" distL="0" distR="0" wp14:anchorId="701038D9" wp14:editId="3961DCF6">
            <wp:extent cx="5273040" cy="2880360"/>
            <wp:effectExtent l="0" t="0" r="3810" b="0"/>
            <wp:docPr id="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277EA" w14:textId="77777777" w:rsidR="007F54F0" w:rsidRPr="00193B81" w:rsidRDefault="007F54F0" w:rsidP="00382652">
      <w:pPr>
        <w:keepNext/>
        <w:spacing w:after="0" w:line="240" w:lineRule="auto"/>
        <w:rPr>
          <w:rFonts w:ascii="Arial" w:eastAsia="MS Mincho" w:hAnsi="Arial" w:cs="Arial"/>
          <w:b/>
          <w:bCs/>
          <w:sz w:val="18"/>
          <w:szCs w:val="18"/>
          <w:lang w:val="en-GB"/>
        </w:rPr>
      </w:pPr>
    </w:p>
    <w:p w14:paraId="63B7F34C" w14:textId="4588B22E" w:rsidR="00382652" w:rsidRPr="00193B81" w:rsidRDefault="00382652" w:rsidP="00382652">
      <w:pPr>
        <w:keepNext/>
        <w:spacing w:after="0" w:line="240" w:lineRule="auto"/>
        <w:rPr>
          <w:rFonts w:ascii="Arial" w:eastAsia="MS Mincho" w:hAnsi="Arial" w:cs="Arial"/>
          <w:b/>
          <w:bCs/>
          <w:sz w:val="18"/>
          <w:szCs w:val="18"/>
          <w:lang w:val="en-GB"/>
        </w:rPr>
      </w:pPr>
      <w:r w:rsidRPr="00193B81">
        <w:rPr>
          <w:rFonts w:ascii="Arial" w:eastAsia="MS Mincho" w:hAnsi="Arial" w:cs="Arial"/>
          <w:b/>
          <w:bCs/>
          <w:sz w:val="18"/>
          <w:szCs w:val="18"/>
          <w:lang w:val="en-GB"/>
        </w:rPr>
        <w:t>Supplementary Fig</w:t>
      </w:r>
      <w:r w:rsidR="00193B81">
        <w:rPr>
          <w:rFonts w:ascii="Arial" w:eastAsia="MS Mincho" w:hAnsi="Arial" w:cs="Arial"/>
          <w:b/>
          <w:bCs/>
          <w:sz w:val="18"/>
          <w:szCs w:val="18"/>
          <w:lang w:val="en-GB"/>
        </w:rPr>
        <w:t>.</w:t>
      </w:r>
      <w:r w:rsidRPr="00193B81">
        <w:rPr>
          <w:rFonts w:ascii="Arial" w:eastAsia="MS Mincho" w:hAnsi="Arial" w:cs="Arial"/>
          <w:b/>
          <w:bCs/>
          <w:sz w:val="18"/>
          <w:szCs w:val="18"/>
          <w:lang w:val="en-GB"/>
        </w:rPr>
        <w:t xml:space="preserve"> 2 </w:t>
      </w:r>
      <w:r w:rsidRPr="00193B81">
        <w:rPr>
          <w:rFonts w:ascii="Arial" w:eastAsia="MS Mincho" w:hAnsi="Arial" w:cs="Arial"/>
          <w:sz w:val="18"/>
          <w:szCs w:val="18"/>
          <w:lang w:val="en-GB"/>
        </w:rPr>
        <w:t xml:space="preserve">Representative images of (A) invasion and (B) soft-agar assays in silenced </w:t>
      </w:r>
      <w:r w:rsidRPr="00193B81">
        <w:rPr>
          <w:rFonts w:ascii="Arial" w:eastAsia="MS Mincho" w:hAnsi="Arial" w:cs="Arial"/>
          <w:i/>
          <w:iCs/>
          <w:sz w:val="18"/>
          <w:szCs w:val="18"/>
          <w:lang w:val="en-GB"/>
        </w:rPr>
        <w:t>FGFR1</w:t>
      </w:r>
      <w:r w:rsidRPr="00193B81">
        <w:rPr>
          <w:rFonts w:ascii="Arial" w:eastAsia="MS Mincho" w:hAnsi="Arial" w:cs="Arial"/>
          <w:sz w:val="18"/>
          <w:szCs w:val="18"/>
          <w:lang w:val="en-GB"/>
        </w:rPr>
        <w:t xml:space="preserve"> SHSY5Y and SKNBE2 cells. (C) Invasion and (D) </w:t>
      </w:r>
      <w:proofErr w:type="spellStart"/>
      <w:r w:rsidRPr="00193B81">
        <w:rPr>
          <w:rFonts w:ascii="Arial" w:eastAsia="MS Mincho" w:hAnsi="Arial" w:cs="Arial"/>
          <w:sz w:val="18"/>
          <w:szCs w:val="18"/>
          <w:lang w:val="en-GB"/>
        </w:rPr>
        <w:t>neurosphere</w:t>
      </w:r>
      <w:proofErr w:type="spellEnd"/>
      <w:r w:rsidRPr="00193B81">
        <w:rPr>
          <w:rFonts w:ascii="Arial" w:eastAsia="MS Mincho" w:hAnsi="Arial" w:cs="Arial"/>
          <w:sz w:val="18"/>
          <w:szCs w:val="18"/>
          <w:lang w:val="en-GB"/>
        </w:rPr>
        <w:t xml:space="preserve"> assays in </w:t>
      </w:r>
      <w:r w:rsidRPr="00193B81">
        <w:rPr>
          <w:rFonts w:ascii="Arial" w:eastAsia="MS Mincho" w:hAnsi="Arial" w:cs="Arial"/>
          <w:i/>
          <w:iCs/>
          <w:sz w:val="18"/>
          <w:szCs w:val="18"/>
          <w:lang w:val="en-GB"/>
        </w:rPr>
        <w:t>FGFR1</w:t>
      </w:r>
      <w:r w:rsidRPr="00193B81">
        <w:rPr>
          <w:rFonts w:ascii="Arial" w:eastAsia="MS Mincho" w:hAnsi="Arial" w:cs="Arial"/>
          <w:sz w:val="18"/>
          <w:szCs w:val="18"/>
          <w:lang w:val="en-GB"/>
        </w:rPr>
        <w:t xml:space="preserve"> overexpressing cells are shown</w:t>
      </w:r>
    </w:p>
    <w:p w14:paraId="22FD910A" w14:textId="27203AF4" w:rsidR="00382652" w:rsidRPr="00193B81" w:rsidRDefault="00382652" w:rsidP="00382652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it-IT"/>
        </w:rPr>
      </w:pPr>
    </w:p>
    <w:p w14:paraId="74B1EBB8" w14:textId="77777777" w:rsidR="00382652" w:rsidRPr="00193B81" w:rsidRDefault="00382652" w:rsidP="00382652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it-IT"/>
        </w:rPr>
      </w:pPr>
      <w:r w:rsidRPr="00193B81">
        <w:rPr>
          <w:rFonts w:ascii="Arial" w:eastAsia="Times New Roman" w:hAnsi="Arial" w:cs="Arial"/>
          <w:noProof/>
          <w:sz w:val="18"/>
          <w:szCs w:val="18"/>
          <w:lang w:val="en-GB" w:eastAsia="it-IT"/>
        </w:rPr>
        <w:lastRenderedPageBreak/>
        <w:drawing>
          <wp:inline distT="0" distB="0" distL="0" distR="0" wp14:anchorId="7A669438" wp14:editId="4C5113CA">
            <wp:extent cx="5196840" cy="5669280"/>
            <wp:effectExtent l="0" t="0" r="3810" b="7620"/>
            <wp:docPr id="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CEFCC" w14:textId="4C06B535" w:rsidR="00382652" w:rsidRPr="00193B81" w:rsidRDefault="00382652" w:rsidP="00382652">
      <w:pPr>
        <w:keepNext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18"/>
          <w:szCs w:val="18"/>
          <w:lang w:val="en-GB"/>
        </w:rPr>
      </w:pPr>
      <w:r w:rsidRPr="00193B81">
        <w:rPr>
          <w:rFonts w:ascii="Arial" w:eastAsia="MS Mincho" w:hAnsi="Arial" w:cs="Arial"/>
          <w:b/>
          <w:bCs/>
          <w:sz w:val="18"/>
          <w:szCs w:val="18"/>
          <w:lang w:val="en-GB"/>
        </w:rPr>
        <w:t>Supplementary Fig</w:t>
      </w:r>
      <w:r w:rsidR="00193B81">
        <w:rPr>
          <w:rFonts w:ascii="Arial" w:eastAsia="MS Mincho" w:hAnsi="Arial" w:cs="Arial"/>
          <w:b/>
          <w:bCs/>
          <w:sz w:val="18"/>
          <w:szCs w:val="18"/>
          <w:lang w:val="en-GB"/>
        </w:rPr>
        <w:t>.</w:t>
      </w:r>
      <w:r w:rsidRPr="00193B81">
        <w:rPr>
          <w:rFonts w:ascii="Arial" w:eastAsia="MS Mincho" w:hAnsi="Arial" w:cs="Arial"/>
          <w:b/>
          <w:bCs/>
          <w:sz w:val="18"/>
          <w:szCs w:val="18"/>
          <w:lang w:val="en-GB"/>
        </w:rPr>
        <w:t xml:space="preserve"> 3 </w:t>
      </w:r>
      <w:r w:rsidRPr="00193B81">
        <w:rPr>
          <w:rFonts w:ascii="Arial" w:eastAsia="MS Mincho" w:hAnsi="Arial" w:cs="Arial"/>
          <w:sz w:val="18"/>
          <w:szCs w:val="18"/>
          <w:lang w:val="en-GB"/>
        </w:rPr>
        <w:t>SH5YSY and SKNBE2 cells were transiently transfected with pCMV6- empty vector, pCMV6- -FGFR1</w:t>
      </w:r>
      <w:r w:rsidRPr="00193B81">
        <w:rPr>
          <w:rFonts w:ascii="Arial" w:eastAsia="MS Mincho" w:hAnsi="Arial" w:cs="Arial"/>
          <w:sz w:val="18"/>
          <w:szCs w:val="18"/>
          <w:vertAlign w:val="superscript"/>
          <w:lang w:val="en-GB"/>
        </w:rPr>
        <w:t>wt</w:t>
      </w:r>
      <w:r w:rsidRPr="00193B81">
        <w:rPr>
          <w:rFonts w:ascii="Arial" w:eastAsia="MS Mincho" w:hAnsi="Arial" w:cs="Arial"/>
          <w:sz w:val="18"/>
          <w:szCs w:val="18"/>
          <w:lang w:val="en-GB"/>
        </w:rPr>
        <w:t>, pCMV6- - FGFR1</w:t>
      </w:r>
      <w:r w:rsidRPr="00193B81">
        <w:rPr>
          <w:rFonts w:ascii="Arial" w:eastAsia="MS Mincho" w:hAnsi="Arial" w:cs="Arial"/>
          <w:sz w:val="18"/>
          <w:szCs w:val="18"/>
          <w:vertAlign w:val="superscript"/>
          <w:lang w:val="en-GB"/>
        </w:rPr>
        <w:t>N546K</w:t>
      </w:r>
      <w:r w:rsidRPr="00193B81">
        <w:rPr>
          <w:rFonts w:ascii="Arial" w:eastAsia="MS Mincho" w:hAnsi="Arial" w:cs="Arial"/>
          <w:sz w:val="18"/>
          <w:szCs w:val="18"/>
          <w:lang w:val="en-GB"/>
        </w:rPr>
        <w:t xml:space="preserve">.In these cell lines, MTT assay to determine the IC50 value of (A) AZD4547 and (B) GDC0941 to </w:t>
      </w:r>
      <w:proofErr w:type="spellStart"/>
      <w:r w:rsidRPr="00193B81">
        <w:rPr>
          <w:rFonts w:ascii="Arial" w:eastAsia="MS Mincho" w:hAnsi="Arial" w:cs="Arial"/>
          <w:sz w:val="18"/>
          <w:szCs w:val="18"/>
          <w:lang w:val="en-GB"/>
        </w:rPr>
        <w:t>analyze</w:t>
      </w:r>
      <w:proofErr w:type="spellEnd"/>
      <w:r w:rsidRPr="00193B81">
        <w:rPr>
          <w:rFonts w:ascii="Arial" w:eastAsia="MS Mincho" w:hAnsi="Arial" w:cs="Arial"/>
          <w:sz w:val="18"/>
          <w:szCs w:val="18"/>
          <w:lang w:val="en-GB"/>
        </w:rPr>
        <w:t xml:space="preserve"> their effect on cell viability (%). The IC50 value (that is, the concentration of drug which exhibited 50% cell) are reported in table under the corresponding graph. (C) Bar plot represented the cell viability (%) of described above cell lines treated with different concentrations of AZD4547 and GDC0941 combination. Vehicle=DMSO. * =</w:t>
      </w:r>
      <w:r w:rsidRPr="00193B81">
        <w:rPr>
          <w:rFonts w:ascii="Arial" w:eastAsia="MS Mincho" w:hAnsi="Arial" w:cs="Arial"/>
          <w:i/>
          <w:iCs/>
          <w:sz w:val="18"/>
          <w:szCs w:val="18"/>
          <w:lang w:val="en-GB"/>
        </w:rPr>
        <w:t xml:space="preserve"> p</w:t>
      </w:r>
      <w:r w:rsidR="007F54F0" w:rsidRPr="00193B81">
        <w:rPr>
          <w:rFonts w:ascii="Arial" w:eastAsia="MS Mincho" w:hAnsi="Arial" w:cs="Arial"/>
          <w:sz w:val="18"/>
          <w:szCs w:val="18"/>
          <w:lang w:val="en-GB"/>
        </w:rPr>
        <w:t>-</w:t>
      </w:r>
      <w:r w:rsidRPr="00193B81">
        <w:rPr>
          <w:rFonts w:ascii="Arial" w:eastAsia="MS Mincho" w:hAnsi="Arial" w:cs="Arial"/>
          <w:sz w:val="18"/>
          <w:szCs w:val="18"/>
          <w:lang w:val="en-GB"/>
        </w:rPr>
        <w:t xml:space="preserve">value ≤ 0.05, ** = </w:t>
      </w:r>
      <w:r w:rsidRPr="00193B81">
        <w:rPr>
          <w:rFonts w:ascii="Arial" w:eastAsia="MS Mincho" w:hAnsi="Arial" w:cs="Arial"/>
          <w:i/>
          <w:iCs/>
          <w:sz w:val="18"/>
          <w:szCs w:val="18"/>
          <w:lang w:val="en-GB"/>
        </w:rPr>
        <w:t>p</w:t>
      </w:r>
      <w:r w:rsidR="007F54F0" w:rsidRPr="00193B81">
        <w:rPr>
          <w:rFonts w:ascii="Arial" w:eastAsia="MS Mincho" w:hAnsi="Arial" w:cs="Arial"/>
          <w:i/>
          <w:iCs/>
          <w:sz w:val="18"/>
          <w:szCs w:val="18"/>
          <w:lang w:val="en-GB"/>
        </w:rPr>
        <w:t>-</w:t>
      </w:r>
      <w:r w:rsidRPr="00193B81">
        <w:rPr>
          <w:rFonts w:ascii="Arial" w:eastAsia="MS Mincho" w:hAnsi="Arial" w:cs="Arial"/>
          <w:sz w:val="18"/>
          <w:szCs w:val="18"/>
          <w:lang w:val="en-GB"/>
        </w:rPr>
        <w:t xml:space="preserve">value ≤ 0.01, *** = </w:t>
      </w:r>
      <w:r w:rsidRPr="00193B81">
        <w:rPr>
          <w:rFonts w:ascii="Arial" w:eastAsia="MS Mincho" w:hAnsi="Arial" w:cs="Arial"/>
          <w:i/>
          <w:iCs/>
          <w:sz w:val="18"/>
          <w:szCs w:val="18"/>
          <w:lang w:val="en-GB"/>
        </w:rPr>
        <w:t>p</w:t>
      </w:r>
      <w:r w:rsidR="007F54F0" w:rsidRPr="00193B81">
        <w:rPr>
          <w:rFonts w:ascii="Arial" w:eastAsia="MS Mincho" w:hAnsi="Arial" w:cs="Arial"/>
          <w:i/>
          <w:iCs/>
          <w:sz w:val="18"/>
          <w:szCs w:val="18"/>
          <w:lang w:val="en-GB"/>
        </w:rPr>
        <w:t>-</w:t>
      </w:r>
      <w:r w:rsidRPr="00193B81">
        <w:rPr>
          <w:rFonts w:ascii="Arial" w:eastAsia="MS Mincho" w:hAnsi="Arial" w:cs="Arial"/>
          <w:sz w:val="18"/>
          <w:szCs w:val="18"/>
          <w:lang w:val="en-GB"/>
        </w:rPr>
        <w:t>value ≤ 0.001</w:t>
      </w:r>
    </w:p>
    <w:p w14:paraId="4D784BFC" w14:textId="4B80CC08" w:rsidR="00382652" w:rsidRPr="00193B81" w:rsidRDefault="00382652" w:rsidP="00382652">
      <w:pPr>
        <w:spacing w:after="0" w:line="240" w:lineRule="auto"/>
        <w:rPr>
          <w:rFonts w:ascii="Arial" w:eastAsia="MS Mincho" w:hAnsi="Arial" w:cs="Arial"/>
          <w:kern w:val="24"/>
          <w:sz w:val="18"/>
          <w:szCs w:val="18"/>
          <w:lang w:val="en-GB" w:eastAsia="it-IT"/>
        </w:rPr>
      </w:pPr>
    </w:p>
    <w:p w14:paraId="1B07EB73" w14:textId="77777777" w:rsidR="00382652" w:rsidRPr="00193B81" w:rsidRDefault="00382652" w:rsidP="00382652">
      <w:pPr>
        <w:spacing w:after="0" w:line="240" w:lineRule="auto"/>
        <w:rPr>
          <w:rFonts w:ascii="Arial" w:eastAsia="MS Mincho" w:hAnsi="Arial" w:cs="Arial"/>
          <w:kern w:val="24"/>
          <w:sz w:val="18"/>
          <w:szCs w:val="18"/>
          <w:lang w:val="en-GB" w:eastAsia="it-IT"/>
        </w:rPr>
      </w:pPr>
      <w:r w:rsidRPr="00193B81">
        <w:rPr>
          <w:rFonts w:ascii="Arial" w:eastAsia="MS Mincho" w:hAnsi="Arial" w:cs="Arial"/>
          <w:noProof/>
          <w:kern w:val="24"/>
          <w:sz w:val="18"/>
          <w:szCs w:val="18"/>
          <w:lang w:val="en-GB" w:eastAsia="it-IT"/>
        </w:rPr>
        <w:lastRenderedPageBreak/>
        <w:drawing>
          <wp:inline distT="0" distB="0" distL="0" distR="0" wp14:anchorId="5D711881" wp14:editId="56C5EAD3">
            <wp:extent cx="5227320" cy="3360420"/>
            <wp:effectExtent l="0" t="0" r="0" b="0"/>
            <wp:docPr id="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0FF50" w14:textId="77777777" w:rsidR="007F54F0" w:rsidRPr="00193B81" w:rsidRDefault="007F54F0" w:rsidP="00382652">
      <w:pPr>
        <w:keepNext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18"/>
          <w:szCs w:val="18"/>
          <w:lang w:val="en-GB"/>
        </w:rPr>
      </w:pPr>
    </w:p>
    <w:p w14:paraId="19E059A5" w14:textId="370A7B2E" w:rsidR="00382652" w:rsidRPr="00193B81" w:rsidRDefault="00382652" w:rsidP="00382652">
      <w:pPr>
        <w:keepNext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8"/>
          <w:szCs w:val="18"/>
          <w:lang w:val="en-GB"/>
        </w:rPr>
      </w:pPr>
      <w:r w:rsidRPr="00193B81">
        <w:rPr>
          <w:rFonts w:ascii="Arial" w:eastAsia="MS Mincho" w:hAnsi="Arial" w:cs="Arial"/>
          <w:b/>
          <w:bCs/>
          <w:sz w:val="18"/>
          <w:szCs w:val="18"/>
          <w:lang w:val="en-GB"/>
        </w:rPr>
        <w:t>Supplementary Fig</w:t>
      </w:r>
      <w:r w:rsidR="00193B81">
        <w:rPr>
          <w:rFonts w:ascii="Arial" w:eastAsia="MS Mincho" w:hAnsi="Arial" w:cs="Arial"/>
          <w:b/>
          <w:bCs/>
          <w:sz w:val="18"/>
          <w:szCs w:val="18"/>
          <w:lang w:val="en-GB"/>
        </w:rPr>
        <w:t>.</w:t>
      </w:r>
      <w:r w:rsidRPr="00193B81">
        <w:rPr>
          <w:rFonts w:ascii="Arial" w:eastAsia="MS Mincho" w:hAnsi="Arial" w:cs="Arial"/>
          <w:b/>
          <w:bCs/>
          <w:sz w:val="18"/>
          <w:szCs w:val="18"/>
          <w:lang w:val="en-GB"/>
        </w:rPr>
        <w:t xml:space="preserve"> 4 </w:t>
      </w:r>
      <w:r w:rsidRPr="00193B81">
        <w:rPr>
          <w:rFonts w:ascii="Arial" w:eastAsia="MS Mincho" w:hAnsi="Arial" w:cs="Arial"/>
          <w:sz w:val="18"/>
          <w:szCs w:val="18"/>
          <w:lang w:val="en-GB"/>
        </w:rPr>
        <w:t xml:space="preserve">Representative images of (A) the invasion assay and (B) </w:t>
      </w:r>
      <w:proofErr w:type="spellStart"/>
      <w:r w:rsidRPr="00193B81">
        <w:rPr>
          <w:rFonts w:ascii="Arial" w:eastAsia="MS Mincho" w:hAnsi="Arial" w:cs="Arial"/>
          <w:sz w:val="18"/>
          <w:szCs w:val="18"/>
          <w:lang w:val="en-GB"/>
        </w:rPr>
        <w:t>neuro</w:t>
      </w:r>
      <w:r w:rsidR="007F54F0" w:rsidRPr="00193B81">
        <w:rPr>
          <w:rFonts w:ascii="Arial" w:eastAsia="MS Mincho" w:hAnsi="Arial" w:cs="Arial"/>
          <w:sz w:val="18"/>
          <w:szCs w:val="18"/>
          <w:lang w:val="en-GB"/>
        </w:rPr>
        <w:t>s</w:t>
      </w:r>
      <w:r w:rsidRPr="00193B81">
        <w:rPr>
          <w:rFonts w:ascii="Arial" w:eastAsia="MS Mincho" w:hAnsi="Arial" w:cs="Arial"/>
          <w:sz w:val="18"/>
          <w:szCs w:val="18"/>
          <w:lang w:val="en-GB"/>
        </w:rPr>
        <w:t>pheres</w:t>
      </w:r>
      <w:proofErr w:type="spellEnd"/>
      <w:r w:rsidRPr="00193B81">
        <w:rPr>
          <w:rFonts w:ascii="Arial" w:eastAsia="MS Mincho" w:hAnsi="Arial" w:cs="Arial"/>
          <w:sz w:val="18"/>
          <w:szCs w:val="18"/>
          <w:lang w:val="en-GB"/>
        </w:rPr>
        <w:t xml:space="preserve"> assay in SHSY5Y and SKNBE2 overexpressing FGFR1</w:t>
      </w:r>
      <w:r w:rsidRPr="00193B81">
        <w:rPr>
          <w:rFonts w:ascii="Arial" w:eastAsia="MS Mincho" w:hAnsi="Arial" w:cs="Arial"/>
          <w:sz w:val="18"/>
          <w:szCs w:val="18"/>
          <w:vertAlign w:val="superscript"/>
          <w:lang w:val="en-GB"/>
        </w:rPr>
        <w:t>wt</w:t>
      </w:r>
      <w:r w:rsidRPr="00193B81">
        <w:rPr>
          <w:rFonts w:ascii="Arial" w:eastAsia="MS Mincho" w:hAnsi="Arial" w:cs="Arial"/>
          <w:sz w:val="18"/>
          <w:szCs w:val="18"/>
          <w:lang w:val="en-GB"/>
        </w:rPr>
        <w:t xml:space="preserve"> or FGFR1</w:t>
      </w:r>
      <w:r w:rsidRPr="00193B81">
        <w:rPr>
          <w:rFonts w:ascii="Arial" w:eastAsia="MS Mincho" w:hAnsi="Arial" w:cs="Arial"/>
          <w:sz w:val="18"/>
          <w:szCs w:val="18"/>
          <w:vertAlign w:val="superscript"/>
          <w:lang w:val="en-GB"/>
        </w:rPr>
        <w:t>N546K</w:t>
      </w:r>
      <w:r w:rsidRPr="00193B81">
        <w:rPr>
          <w:rFonts w:ascii="Arial" w:eastAsia="MS Mincho" w:hAnsi="Arial" w:cs="Arial"/>
          <w:sz w:val="18"/>
          <w:szCs w:val="18"/>
          <w:lang w:val="en-GB"/>
        </w:rPr>
        <w:t xml:space="preserve"> cells after treatment with AZD4547 0.1µM alone and in combination with GDC0941 1µM. Vehicle=DMSO</w:t>
      </w:r>
    </w:p>
    <w:p w14:paraId="4EDBD1A1" w14:textId="77777777" w:rsidR="00382652" w:rsidRPr="00382652" w:rsidRDefault="00382652" w:rsidP="00382652">
      <w:pPr>
        <w:spacing w:line="240" w:lineRule="auto"/>
        <w:rPr>
          <w:rFonts w:ascii="Times New Roman" w:eastAsia="TimesNewRomanPSMT" w:hAnsi="Times New Roman" w:cs="Times New Roman"/>
          <w:b/>
          <w:bCs/>
          <w:sz w:val="18"/>
          <w:szCs w:val="18"/>
          <w:lang w:val="en-GB"/>
        </w:rPr>
      </w:pPr>
    </w:p>
    <w:p w14:paraId="20C33BC5" w14:textId="77777777" w:rsidR="00E957FC" w:rsidRPr="00382652" w:rsidRDefault="00E957FC">
      <w:pPr>
        <w:rPr>
          <w:lang w:val="en-GB"/>
        </w:rPr>
      </w:pPr>
    </w:p>
    <w:sectPr w:rsidR="00E957FC" w:rsidRPr="003826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65"/>
    <w:rsid w:val="00193B81"/>
    <w:rsid w:val="00282CDA"/>
    <w:rsid w:val="00382652"/>
    <w:rsid w:val="006A063A"/>
    <w:rsid w:val="007F54F0"/>
    <w:rsid w:val="00D72165"/>
    <w:rsid w:val="00E9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E1A9"/>
  <w15:chartTrackingRefBased/>
  <w15:docId w15:val="{392D5930-F425-41E4-8F6F-9DE49722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Annalaura</dc:creator>
  <cp:keywords/>
  <dc:description/>
  <cp:lastModifiedBy>Annalaura</cp:lastModifiedBy>
  <cp:revision>6</cp:revision>
  <cp:lastPrinted>2022-01-24T17:11:00Z</cp:lastPrinted>
  <dcterms:created xsi:type="dcterms:W3CDTF">2022-01-04T13:16:00Z</dcterms:created>
  <dcterms:modified xsi:type="dcterms:W3CDTF">2022-02-12T11:58:00Z</dcterms:modified>
</cp:coreProperties>
</file>