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materials</w:t>
      </w:r>
    </w:p>
    <w:p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S1</w:t>
      </w: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 xml:space="preserve"> Comparison of HRV and Non-HRV in the entire cohort </w:t>
      </w:r>
    </w:p>
    <w:tbl>
      <w:tblPr>
        <w:tblStyle w:val="8"/>
        <w:tblW w:w="722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652"/>
        <w:gridCol w:w="1652"/>
        <w:gridCol w:w="1652"/>
        <w:gridCol w:w="10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Global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(n=1188)</w:t>
            </w:r>
          </w:p>
        </w:tc>
        <w:tc>
          <w:tcPr>
            <w:tcW w:w="165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HRV+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(n=146)</w:t>
            </w:r>
          </w:p>
        </w:tc>
        <w:tc>
          <w:tcPr>
            <w:tcW w:w="165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HRV-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(n=1042)</w:t>
            </w:r>
          </w:p>
        </w:tc>
        <w:tc>
          <w:tcPr>
            <w:tcW w:w="106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9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52 (42,59)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56 (48,63)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51 (41,59)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 ≥ 50, n (%)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672 (56.6 )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107 (73.2 )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565 (54.2 )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Male,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701 (59.0 )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88 (60.3 )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613 (58.8 )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0.74</w:t>
            </w:r>
          </w:p>
        </w:tc>
      </w:tr>
      <w:tr>
        <w:trPr>
          <w:trHeight w:val="69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BMI, Kg/m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24.9 (22.8,27.3)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24.7 (22.9,27.3)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25.0 (22.8,27.3)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Etiology, n (%)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HBV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861 (72.5)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97 (66.4)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764 (73.3)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HCV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169 (14.2)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22 (15.1)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147 (14.1)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Non-viral</w:t>
            </w:r>
          </w:p>
        </w:tc>
        <w:tc>
          <w:tcPr>
            <w:tcW w:w="16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158 (13.3)</w:t>
            </w:r>
          </w:p>
        </w:tc>
        <w:tc>
          <w:tcPr>
            <w:tcW w:w="16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27 (18.5)</w:t>
            </w:r>
          </w:p>
        </w:tc>
        <w:tc>
          <w:tcPr>
            <w:tcW w:w="16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131 (12.6)</w:t>
            </w:r>
          </w:p>
        </w:tc>
        <w:tc>
          <w:tcPr>
            <w:tcW w:w="10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infectious</w:t>
            </w:r>
          </w:p>
        </w:tc>
        <w:tc>
          <w:tcPr>
            <w:tcW w:w="165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C-P A,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1068 (89.9)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128 (87.7)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940 (90.2)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ALT, U/L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49 (26,118)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 (24,89)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50 (26,125)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AST, U/L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45 (26,102)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52 (30,101)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45 (26,102)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ALB, g/L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43.1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(39.0,46.2)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40.0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(35.8,43.7)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43.4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(39.5,46.5)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TBIL, </w:t>
            </w: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  <w:t>μ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mol/L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17.4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(13.1,24.6)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21.4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(15.5,31.5)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17.0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(12.9,23.6)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INR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1.05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(1.00,1.14)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1.14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(1.04,1.27)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1.04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(1.00,1.12)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PLT, ×10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135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(98,174)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88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(67,112)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141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(106,179)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LS, kPa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14.3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(8.8,24.5)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22.3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(14.9,34.9)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13.6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(8.6,22.1)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SA, cm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42.94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(34.65,56.25)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58.90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(45.11,75.12)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41.91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(33.60,53.72)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>
        <w:trPr>
          <w:trHeight w:val="651" w:hRule="atLeast"/>
        </w:trPr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Varices,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576 (48.5)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146 (100.0)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430 (41.3 )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HRV: High-risk varices; </w:t>
      </w: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>BMI: Body mass index;</w:t>
      </w:r>
      <w:r>
        <w:rPr>
          <w:rFonts w:ascii="Times New Roman" w:hAnsi="Times New Roman"/>
          <w:sz w:val="24"/>
          <w:szCs w:val="24"/>
        </w:rPr>
        <w:t xml:space="preserve"> HBV: Hepatitis B virus; HCV: Hepatitis C virus; C-P: </w:t>
      </w:r>
      <w:r>
        <w:rPr>
          <w:rFonts w:hint="eastAsia" w:ascii="Times New Roman" w:hAnsi="Times New Roman" w:eastAsia="等线"/>
          <w:color w:val="000000"/>
          <w:kern w:val="0"/>
          <w:sz w:val="24"/>
          <w:szCs w:val="24"/>
        </w:rPr>
        <w:t>C</w:t>
      </w: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>hild-</w:t>
      </w:r>
      <w:r>
        <w:rPr>
          <w:rFonts w:hint="eastAsia" w:ascii="Times New Roman" w:hAnsi="Times New Roman" w:eastAsia="等线"/>
          <w:color w:val="000000"/>
          <w:kern w:val="0"/>
          <w:sz w:val="24"/>
          <w:szCs w:val="24"/>
        </w:rPr>
        <w:t>P</w:t>
      </w: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>ugh class;</w:t>
      </w:r>
      <w:r>
        <w:rPr>
          <w:rFonts w:ascii="Times New Roman" w:hAnsi="Times New Roman"/>
          <w:sz w:val="24"/>
          <w:szCs w:val="24"/>
        </w:rPr>
        <w:t xml:space="preserve"> ALT: </w:t>
      </w:r>
      <w:r>
        <w:rPr>
          <w:rFonts w:hint="eastAsia"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lanine aminotransferase; AST: Aspartate aminotransferase; ALB: Albumin; TBIL: Total bilirubin; INR: International normalized ratio; PLT: Platelet count; LS: Liver stiffness; SA: Spleen area</w:t>
      </w:r>
    </w:p>
    <w:p>
      <w:pPr>
        <w:widowControl/>
        <w:spacing w:line="480" w:lineRule="auto"/>
        <w:jc w:val="left"/>
        <w:rPr>
          <w:rFonts w:ascii="Times New Roman" w:hAnsi="Times New Roman" w:eastAsia="等线"/>
          <w:color w:val="000000"/>
          <w:kern w:val="0"/>
          <w:sz w:val="24"/>
          <w:szCs w:val="24"/>
        </w:rPr>
      </w:pPr>
      <w:r>
        <w:rPr>
          <w:rFonts w:ascii="Times New Roman" w:hAnsi="Times New Roman" w:eastAsia="等线"/>
          <w:color w:val="000000"/>
          <w:kern w:val="0"/>
          <w:sz w:val="24"/>
          <w:szCs w:val="24"/>
        </w:rPr>
        <w:br w:type="page"/>
      </w:r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S2</w:t>
      </w:r>
      <w:r>
        <w:rPr>
          <w:rFonts w:ascii="Times New Roman" w:hAnsi="Times New Roman"/>
          <w:sz w:val="24"/>
          <w:szCs w:val="24"/>
        </w:rPr>
        <w:t xml:space="preserve"> Performance of </w:t>
      </w: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>B6C</w:t>
      </w:r>
      <w:r>
        <w:rPr>
          <w:rFonts w:ascii="Times New Roman" w:hAnsi="Times New Roman"/>
          <w:sz w:val="24"/>
          <w:szCs w:val="24"/>
        </w:rPr>
        <w:t xml:space="preserve"> and EB6C in ruling out HRV in the entire cohort and age-related subgroups</w:t>
      </w:r>
    </w:p>
    <w:tbl>
      <w:tblPr>
        <w:tblStyle w:val="8"/>
        <w:tblW w:w="801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992"/>
        <w:gridCol w:w="1054"/>
        <w:gridCol w:w="264"/>
        <w:gridCol w:w="1045"/>
        <w:gridCol w:w="958"/>
        <w:gridCol w:w="264"/>
        <w:gridCol w:w="950"/>
        <w:gridCol w:w="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entire cohort  (n=1188)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Patients age &lt;50 </w:t>
            </w:r>
          </w:p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(n=516)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Patients age ≥ 50</w:t>
            </w:r>
          </w:p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(n=672)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B6C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EB6C</w:t>
            </w:r>
          </w:p>
        </w:tc>
        <w:tc>
          <w:tcPr>
            <w:tcW w:w="2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B6C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EB6C</w:t>
            </w:r>
          </w:p>
        </w:tc>
        <w:tc>
          <w:tcPr>
            <w:tcW w:w="2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B6C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EB6C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EGD Spared,</w:t>
            </w:r>
          </w:p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377 (31.7)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651 (54.8)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190 (36.8)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305 (59.1)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187 (27.8)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346 (51.5)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HRV missed,</w:t>
            </w:r>
          </w:p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 (1.6)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24 (3.7)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 (0.0)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 (0.7)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 (3.2)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22 (6.4)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Se,%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95.90 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83.60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100.00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94.90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94.40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79.40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Sp,%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35.60 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60.20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39.80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63.50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32.00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57.30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Accuracy,%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43.00 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63.00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44.40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65.90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42.00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60.90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PPV,%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17.30 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22.70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12.00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17.50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20.80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26.10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NPV,%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98.40 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96.30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100.00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99.30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96.80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93.60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LR+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1.49 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2.10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1.66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2.60 </w:t>
            </w:r>
          </w:p>
        </w:tc>
        <w:tc>
          <w:tcPr>
            <w:tcW w:w="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1.39 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1.86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2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LR-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0.12 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0.27 </w:t>
            </w:r>
          </w:p>
        </w:tc>
        <w:tc>
          <w:tcPr>
            <w:tcW w:w="2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0.08 </w:t>
            </w:r>
          </w:p>
        </w:tc>
        <w:tc>
          <w:tcPr>
            <w:tcW w:w="26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0.18 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0.36 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>B6C:</w:t>
      </w:r>
      <w:r>
        <w:rPr>
          <w:rFonts w:ascii="Times New Roman" w:hAnsi="Times New Roman"/>
          <w:sz w:val="24"/>
          <w:szCs w:val="24"/>
        </w:rPr>
        <w:t xml:space="preserve"> Baveno VI criteria; EB6C: Expanded </w:t>
      </w:r>
      <w:r>
        <w:rPr>
          <w:rFonts w:ascii="Times New Roman" w:hAnsi="Times New Roman"/>
          <w:bCs/>
          <w:sz w:val="24"/>
          <w:szCs w:val="24"/>
        </w:rPr>
        <w:t>Baveno VI criteria</w:t>
      </w:r>
      <w:r>
        <w:rPr>
          <w:rFonts w:ascii="Times New Roman" w:hAnsi="Times New Roman"/>
          <w:sz w:val="24"/>
          <w:szCs w:val="24"/>
        </w:rPr>
        <w:t xml:space="preserve">; HRV: </w:t>
      </w:r>
      <w:r>
        <w:rPr>
          <w:rFonts w:hint="eastAsia"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igh- risk varices; EGD: </w:t>
      </w:r>
      <w:r>
        <w:rPr>
          <w:rFonts w:hint="eastAsia"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sophagogastroduodenoscopy; Se: Sensitivity; Sp: Specificity; PPV: </w:t>
      </w:r>
      <w:r>
        <w:rPr>
          <w:rFonts w:hint="eastAsia"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ositive predictive value; NPV: </w:t>
      </w:r>
      <w:r>
        <w:rPr>
          <w:rFonts w:hint="eastAsia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egative predictive value; LR+: </w:t>
      </w:r>
      <w:r>
        <w:rPr>
          <w:rFonts w:hint="eastAsia"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ositive likelihood ratio; LR−: </w:t>
      </w:r>
      <w:r>
        <w:rPr>
          <w:rFonts w:hint="eastAsia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egative likelihood ratio</w:t>
      </w:r>
      <w:r>
        <w:rPr>
          <w:rFonts w:ascii="Times New Roman" w:hAnsi="Times New Roman"/>
          <w:sz w:val="24"/>
          <w:szCs w:val="24"/>
        </w:rPr>
        <w:br w:type="page"/>
      </w:r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S3</w:t>
      </w:r>
      <w:r>
        <w:rPr>
          <w:rFonts w:ascii="Times New Roman" w:hAnsi="Times New Roman"/>
          <w:sz w:val="24"/>
          <w:szCs w:val="24"/>
        </w:rPr>
        <w:t xml:space="preserve"> Performance of M</w:t>
      </w:r>
      <w:r>
        <w:rPr>
          <w:rFonts w:ascii="Times New Roman" w:hAnsi="Times New Roman" w:eastAsia="等线"/>
          <w:color w:val="000000"/>
          <w:kern w:val="0"/>
          <w:sz w:val="24"/>
          <w:szCs w:val="24"/>
        </w:rPr>
        <w:t>B6C</w:t>
      </w:r>
      <w:r>
        <w:rPr>
          <w:rFonts w:ascii="Times New Roman" w:hAnsi="Times New Roman"/>
          <w:sz w:val="24"/>
          <w:szCs w:val="24"/>
        </w:rPr>
        <w:t xml:space="preserve"> and AB6C in ruling out HRV in the entire cohort and age-related subgroup</w:t>
      </w:r>
    </w:p>
    <w:tbl>
      <w:tblPr>
        <w:tblStyle w:val="8"/>
        <w:tblW w:w="804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005"/>
        <w:gridCol w:w="958"/>
        <w:gridCol w:w="257"/>
        <w:gridCol w:w="1005"/>
        <w:gridCol w:w="958"/>
        <w:gridCol w:w="257"/>
        <w:gridCol w:w="1005"/>
        <w:gridCol w:w="9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61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entire cohort        (n=1188)</w:t>
            </w:r>
          </w:p>
        </w:tc>
        <w:tc>
          <w:tcPr>
            <w:tcW w:w="25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Patients age &lt;50 (n=516)</w:t>
            </w:r>
          </w:p>
        </w:tc>
        <w:tc>
          <w:tcPr>
            <w:tcW w:w="25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Patients age ≥ 50</w:t>
            </w:r>
          </w:p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(n=672)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MB6C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AB6C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MB6C</w:t>
            </w:r>
          </w:p>
        </w:tc>
        <w:tc>
          <w:tcPr>
            <w:tcW w:w="95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AB6C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MB6C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AB6C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EGD Spared,</w:t>
            </w:r>
          </w:p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626 (52.7)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584 (49.2)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358 (69.4 )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332 (64.3)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268 (39.9 )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252 (37.5 )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HRV missed,</w:t>
            </w:r>
          </w:p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 (%)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14 (2.2)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17 (2.9)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 (1.1 )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 (1.5 )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 (3.7 )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 (4.8 )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Se,%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90.40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88.40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89.70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87.20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90.70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88.80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Sp,%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58.70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54.40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74.20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68.60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45.70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42.50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Accuracy,%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62.60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58.60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75.40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70.00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52.80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49.90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PPV,%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23.50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21.40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22.20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18.50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24.00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22.60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NPV,%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97.80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97.10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98.90 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98.50 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96.30 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95.20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LR+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2.19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1.94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3.48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2.77</w:t>
            </w:r>
          </w:p>
        </w:tc>
        <w:tc>
          <w:tcPr>
            <w:tcW w:w="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1.67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LR-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0.14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0.19</w:t>
            </w:r>
          </w:p>
        </w:tc>
        <w:tc>
          <w:tcPr>
            <w:tcW w:w="25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98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</w:tr>
    </w:tbl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MB6C: Modified </w:t>
      </w:r>
      <w:r>
        <w:rPr>
          <w:rFonts w:ascii="Times New Roman" w:hAnsi="Times New Roman"/>
          <w:bCs/>
          <w:sz w:val="24"/>
          <w:szCs w:val="24"/>
        </w:rPr>
        <w:t>Baveno VI criteria</w:t>
      </w:r>
      <w:r>
        <w:rPr>
          <w:rFonts w:ascii="Times New Roman" w:hAnsi="Times New Roman"/>
          <w:sz w:val="24"/>
          <w:szCs w:val="24"/>
        </w:rPr>
        <w:t xml:space="preserve">; AB6C: Alternative </w:t>
      </w:r>
      <w:r>
        <w:rPr>
          <w:rFonts w:ascii="Times New Roman" w:hAnsi="Times New Roman"/>
          <w:bCs/>
          <w:sz w:val="24"/>
          <w:szCs w:val="24"/>
        </w:rPr>
        <w:t>Baveno VI criteria</w:t>
      </w:r>
      <w:r>
        <w:rPr>
          <w:rFonts w:ascii="Times New Roman" w:hAnsi="Times New Roman"/>
          <w:sz w:val="24"/>
          <w:szCs w:val="24"/>
        </w:rPr>
        <w:t xml:space="preserve">; HRV: </w:t>
      </w:r>
      <w:r>
        <w:rPr>
          <w:rFonts w:hint="eastAsia"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</w:rPr>
        <w:t xml:space="preserve">igh-risk varices; EGD: </w:t>
      </w:r>
      <w:r>
        <w:rPr>
          <w:rFonts w:hint="eastAsia"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 xml:space="preserve">sophagogastroduodenoscopy; Se: Sensitivity; Sp: Specificity; PPV: </w:t>
      </w:r>
      <w:r>
        <w:rPr>
          <w:rFonts w:hint="eastAsia"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ositive predictive value; NPV: </w:t>
      </w:r>
      <w:r>
        <w:rPr>
          <w:rFonts w:hint="eastAsia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egative predictive value; LR+: </w:t>
      </w:r>
      <w:r>
        <w:rPr>
          <w:rFonts w:hint="eastAsia"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ositive likelihood ratio; LR−: </w:t>
      </w:r>
      <w:r>
        <w:rPr>
          <w:rFonts w:hint="eastAsia"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egative likelihood ratio</w:t>
      </w:r>
    </w:p>
    <w:p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 S1</w:t>
      </w:r>
      <w:r>
        <w:rPr>
          <w:rFonts w:ascii="Times New Roman" w:hAnsi="Times New Roman"/>
          <w:sz w:val="24"/>
          <w:szCs w:val="24"/>
        </w:rPr>
        <w:t xml:space="preserve"> Prevalence of varices and high-risk varices in age-related subgroups of the entire cohort</w:t>
      </w:r>
    </w:p>
    <w:p>
      <w:pPr>
        <w:spacing w:line="480" w:lineRule="auto"/>
        <w:rPr>
          <w:rFonts w:hint="eastAsia" w:ascii="Times New Roman" w:hAnsi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drawing>
          <wp:inline distT="0" distB="0" distL="0" distR="0">
            <wp:extent cx="4104005" cy="2456815"/>
            <wp:effectExtent l="0" t="0" r="0" b="0"/>
            <wp:docPr id="2" name="图片 2" descr="C:\Users\Administrator\Desktop\投稿\Fig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投稿\Fig 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4420" cy="245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LRV:</w:t>
      </w:r>
      <w:r>
        <w:rPr>
          <w:rFonts w:hint="eastAsia" w:ascii="Times New Roman" w:hAnsi="Times New Roman"/>
          <w:bCs/>
          <w:sz w:val="24"/>
          <w:szCs w:val="24"/>
        </w:rPr>
        <w:t xml:space="preserve"> L</w:t>
      </w:r>
      <w:r>
        <w:rPr>
          <w:rFonts w:ascii="Times New Roman" w:hAnsi="Times New Roman"/>
          <w:bCs/>
          <w:sz w:val="24"/>
          <w:szCs w:val="24"/>
        </w:rPr>
        <w:t xml:space="preserve">ow-risk varices; HRV: </w:t>
      </w:r>
      <w:r>
        <w:rPr>
          <w:rFonts w:hint="eastAsia" w:ascii="Times New Roman" w:hAnsi="Times New Roman"/>
          <w:bCs/>
          <w:sz w:val="24"/>
          <w:szCs w:val="24"/>
        </w:rPr>
        <w:t>H</w:t>
      </w:r>
      <w:r>
        <w:rPr>
          <w:rFonts w:ascii="Times New Roman" w:hAnsi="Times New Roman"/>
          <w:bCs/>
          <w:sz w:val="24"/>
          <w:szCs w:val="24"/>
        </w:rPr>
        <w:t>igh-risk varices;</w:t>
      </w:r>
    </w:p>
    <w:p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2880" w:bottom="1440" w:left="28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E85"/>
    <w:rsid w:val="00005854"/>
    <w:rsid w:val="000108AE"/>
    <w:rsid w:val="000175E1"/>
    <w:rsid w:val="000216EC"/>
    <w:rsid w:val="00024729"/>
    <w:rsid w:val="0002499D"/>
    <w:rsid w:val="00026CB7"/>
    <w:rsid w:val="00036B98"/>
    <w:rsid w:val="00052E95"/>
    <w:rsid w:val="00063FB7"/>
    <w:rsid w:val="00065D83"/>
    <w:rsid w:val="00070998"/>
    <w:rsid w:val="000734F9"/>
    <w:rsid w:val="00076DAE"/>
    <w:rsid w:val="00077F65"/>
    <w:rsid w:val="000804AB"/>
    <w:rsid w:val="000A5EBA"/>
    <w:rsid w:val="000A63F3"/>
    <w:rsid w:val="000B221D"/>
    <w:rsid w:val="000C021A"/>
    <w:rsid w:val="000C04F2"/>
    <w:rsid w:val="000C5961"/>
    <w:rsid w:val="000C7196"/>
    <w:rsid w:val="000D1A41"/>
    <w:rsid w:val="000D2F06"/>
    <w:rsid w:val="000D54BC"/>
    <w:rsid w:val="000E5975"/>
    <w:rsid w:val="000E68CE"/>
    <w:rsid w:val="000F577A"/>
    <w:rsid w:val="000F58B5"/>
    <w:rsid w:val="000F5A17"/>
    <w:rsid w:val="000F728F"/>
    <w:rsid w:val="001000C3"/>
    <w:rsid w:val="00104CA4"/>
    <w:rsid w:val="001061BC"/>
    <w:rsid w:val="00111C29"/>
    <w:rsid w:val="00115C3C"/>
    <w:rsid w:val="00130B9E"/>
    <w:rsid w:val="00135C36"/>
    <w:rsid w:val="001365AB"/>
    <w:rsid w:val="00166D49"/>
    <w:rsid w:val="00167237"/>
    <w:rsid w:val="00173278"/>
    <w:rsid w:val="00180E5B"/>
    <w:rsid w:val="001868E2"/>
    <w:rsid w:val="001940FE"/>
    <w:rsid w:val="00195A83"/>
    <w:rsid w:val="001A117A"/>
    <w:rsid w:val="001A6E39"/>
    <w:rsid w:val="001B44C1"/>
    <w:rsid w:val="001B5B42"/>
    <w:rsid w:val="001C1224"/>
    <w:rsid w:val="001C38FA"/>
    <w:rsid w:val="001F2D30"/>
    <w:rsid w:val="00211755"/>
    <w:rsid w:val="00214369"/>
    <w:rsid w:val="00215470"/>
    <w:rsid w:val="0022116B"/>
    <w:rsid w:val="00227C3A"/>
    <w:rsid w:val="00230676"/>
    <w:rsid w:val="00247166"/>
    <w:rsid w:val="002512EB"/>
    <w:rsid w:val="002517A7"/>
    <w:rsid w:val="002543DD"/>
    <w:rsid w:val="00255D35"/>
    <w:rsid w:val="002709C2"/>
    <w:rsid w:val="00272C2D"/>
    <w:rsid w:val="00275A4B"/>
    <w:rsid w:val="00277F67"/>
    <w:rsid w:val="00280F39"/>
    <w:rsid w:val="00282BB2"/>
    <w:rsid w:val="00292F76"/>
    <w:rsid w:val="002A06AC"/>
    <w:rsid w:val="002A6342"/>
    <w:rsid w:val="002B27CE"/>
    <w:rsid w:val="002C0390"/>
    <w:rsid w:val="002C22BA"/>
    <w:rsid w:val="002C66E9"/>
    <w:rsid w:val="002D7B69"/>
    <w:rsid w:val="002E1C30"/>
    <w:rsid w:val="002F5862"/>
    <w:rsid w:val="00301CB7"/>
    <w:rsid w:val="00313A98"/>
    <w:rsid w:val="00317C67"/>
    <w:rsid w:val="00327D91"/>
    <w:rsid w:val="00334229"/>
    <w:rsid w:val="00334BBF"/>
    <w:rsid w:val="00335F41"/>
    <w:rsid w:val="00345F4F"/>
    <w:rsid w:val="00347DF4"/>
    <w:rsid w:val="00363E42"/>
    <w:rsid w:val="0037024F"/>
    <w:rsid w:val="00375B50"/>
    <w:rsid w:val="00391A40"/>
    <w:rsid w:val="00395826"/>
    <w:rsid w:val="00396E5F"/>
    <w:rsid w:val="003A4A34"/>
    <w:rsid w:val="003B1D3E"/>
    <w:rsid w:val="003B298C"/>
    <w:rsid w:val="003B5DBB"/>
    <w:rsid w:val="003B6EB1"/>
    <w:rsid w:val="003D44F6"/>
    <w:rsid w:val="003E5BC4"/>
    <w:rsid w:val="003F29B7"/>
    <w:rsid w:val="004027B0"/>
    <w:rsid w:val="004072E6"/>
    <w:rsid w:val="004247C1"/>
    <w:rsid w:val="00424BDE"/>
    <w:rsid w:val="0043073D"/>
    <w:rsid w:val="00432608"/>
    <w:rsid w:val="0043398C"/>
    <w:rsid w:val="00435D23"/>
    <w:rsid w:val="0044326C"/>
    <w:rsid w:val="0044698E"/>
    <w:rsid w:val="00460672"/>
    <w:rsid w:val="00463EEC"/>
    <w:rsid w:val="00470E75"/>
    <w:rsid w:val="00485A53"/>
    <w:rsid w:val="0048717F"/>
    <w:rsid w:val="00487DA9"/>
    <w:rsid w:val="00491C01"/>
    <w:rsid w:val="004B2E4A"/>
    <w:rsid w:val="004B55F7"/>
    <w:rsid w:val="004C163B"/>
    <w:rsid w:val="004C35CD"/>
    <w:rsid w:val="004D289D"/>
    <w:rsid w:val="004D5021"/>
    <w:rsid w:val="004E17BE"/>
    <w:rsid w:val="004E71EE"/>
    <w:rsid w:val="004F1828"/>
    <w:rsid w:val="004F1DED"/>
    <w:rsid w:val="0050443B"/>
    <w:rsid w:val="0052148F"/>
    <w:rsid w:val="0053052B"/>
    <w:rsid w:val="005335EA"/>
    <w:rsid w:val="0055227F"/>
    <w:rsid w:val="00554A1C"/>
    <w:rsid w:val="00556682"/>
    <w:rsid w:val="00560EEE"/>
    <w:rsid w:val="00562BAD"/>
    <w:rsid w:val="00567DF7"/>
    <w:rsid w:val="005819E5"/>
    <w:rsid w:val="00581E51"/>
    <w:rsid w:val="00591035"/>
    <w:rsid w:val="00592CC6"/>
    <w:rsid w:val="00596A28"/>
    <w:rsid w:val="00596FC8"/>
    <w:rsid w:val="005A0C81"/>
    <w:rsid w:val="005A6B29"/>
    <w:rsid w:val="005A6F08"/>
    <w:rsid w:val="005B48E8"/>
    <w:rsid w:val="005D0B7D"/>
    <w:rsid w:val="005D2BC1"/>
    <w:rsid w:val="005D5370"/>
    <w:rsid w:val="005E4A98"/>
    <w:rsid w:val="005E7E90"/>
    <w:rsid w:val="005F1413"/>
    <w:rsid w:val="005F6458"/>
    <w:rsid w:val="005F6CD5"/>
    <w:rsid w:val="005F7E73"/>
    <w:rsid w:val="006110DE"/>
    <w:rsid w:val="00616271"/>
    <w:rsid w:val="00626008"/>
    <w:rsid w:val="0062635C"/>
    <w:rsid w:val="00634091"/>
    <w:rsid w:val="00642CD0"/>
    <w:rsid w:val="00646FE0"/>
    <w:rsid w:val="00651A6F"/>
    <w:rsid w:val="006546C7"/>
    <w:rsid w:val="00656A0A"/>
    <w:rsid w:val="00657E52"/>
    <w:rsid w:val="00663B92"/>
    <w:rsid w:val="00666685"/>
    <w:rsid w:val="00676A9D"/>
    <w:rsid w:val="006838EF"/>
    <w:rsid w:val="0068767D"/>
    <w:rsid w:val="006921D9"/>
    <w:rsid w:val="006B2BFC"/>
    <w:rsid w:val="006C1E17"/>
    <w:rsid w:val="006D568D"/>
    <w:rsid w:val="006E4136"/>
    <w:rsid w:val="006E43C1"/>
    <w:rsid w:val="006F20FD"/>
    <w:rsid w:val="006F265E"/>
    <w:rsid w:val="00704332"/>
    <w:rsid w:val="007137B2"/>
    <w:rsid w:val="00730F3B"/>
    <w:rsid w:val="00740B91"/>
    <w:rsid w:val="00744086"/>
    <w:rsid w:val="0075068E"/>
    <w:rsid w:val="00752ABF"/>
    <w:rsid w:val="0075626F"/>
    <w:rsid w:val="007667DB"/>
    <w:rsid w:val="00790DE2"/>
    <w:rsid w:val="007B3546"/>
    <w:rsid w:val="007C7A72"/>
    <w:rsid w:val="007D149A"/>
    <w:rsid w:val="007D2030"/>
    <w:rsid w:val="007D5408"/>
    <w:rsid w:val="007E043F"/>
    <w:rsid w:val="007E2404"/>
    <w:rsid w:val="007E41DA"/>
    <w:rsid w:val="007F73C3"/>
    <w:rsid w:val="008070C1"/>
    <w:rsid w:val="008453D7"/>
    <w:rsid w:val="00854A93"/>
    <w:rsid w:val="008633EA"/>
    <w:rsid w:val="00876CFF"/>
    <w:rsid w:val="00885978"/>
    <w:rsid w:val="00890446"/>
    <w:rsid w:val="00896E51"/>
    <w:rsid w:val="008A12E1"/>
    <w:rsid w:val="008A6818"/>
    <w:rsid w:val="008B53A0"/>
    <w:rsid w:val="008C4D81"/>
    <w:rsid w:val="008D2D4A"/>
    <w:rsid w:val="008D5997"/>
    <w:rsid w:val="008D5BE6"/>
    <w:rsid w:val="008D7F11"/>
    <w:rsid w:val="008E7653"/>
    <w:rsid w:val="008F5132"/>
    <w:rsid w:val="00920F3E"/>
    <w:rsid w:val="00924462"/>
    <w:rsid w:val="00924492"/>
    <w:rsid w:val="00925ED9"/>
    <w:rsid w:val="00926965"/>
    <w:rsid w:val="009432B3"/>
    <w:rsid w:val="009463D2"/>
    <w:rsid w:val="00947656"/>
    <w:rsid w:val="00950B89"/>
    <w:rsid w:val="00951974"/>
    <w:rsid w:val="00953935"/>
    <w:rsid w:val="0095604E"/>
    <w:rsid w:val="00956CD1"/>
    <w:rsid w:val="00966914"/>
    <w:rsid w:val="009845A7"/>
    <w:rsid w:val="00990947"/>
    <w:rsid w:val="009C47E3"/>
    <w:rsid w:val="009D6548"/>
    <w:rsid w:val="009D7FDD"/>
    <w:rsid w:val="009E3059"/>
    <w:rsid w:val="009E63C7"/>
    <w:rsid w:val="00A00BEC"/>
    <w:rsid w:val="00A01A7F"/>
    <w:rsid w:val="00A11DDC"/>
    <w:rsid w:val="00A24D68"/>
    <w:rsid w:val="00A319A6"/>
    <w:rsid w:val="00A34687"/>
    <w:rsid w:val="00A50CCB"/>
    <w:rsid w:val="00A64226"/>
    <w:rsid w:val="00A72E67"/>
    <w:rsid w:val="00A7493C"/>
    <w:rsid w:val="00A77B37"/>
    <w:rsid w:val="00A81238"/>
    <w:rsid w:val="00A82BCD"/>
    <w:rsid w:val="00A84AA3"/>
    <w:rsid w:val="00AA05C4"/>
    <w:rsid w:val="00AD2D77"/>
    <w:rsid w:val="00B00448"/>
    <w:rsid w:val="00B11ECD"/>
    <w:rsid w:val="00B11EF6"/>
    <w:rsid w:val="00B14D81"/>
    <w:rsid w:val="00B1762D"/>
    <w:rsid w:val="00B35630"/>
    <w:rsid w:val="00B42E85"/>
    <w:rsid w:val="00B52AB6"/>
    <w:rsid w:val="00B53722"/>
    <w:rsid w:val="00B9294A"/>
    <w:rsid w:val="00B95EBD"/>
    <w:rsid w:val="00BA65E4"/>
    <w:rsid w:val="00BB1AE6"/>
    <w:rsid w:val="00BB1EAE"/>
    <w:rsid w:val="00BB48DA"/>
    <w:rsid w:val="00BB56FA"/>
    <w:rsid w:val="00BC3769"/>
    <w:rsid w:val="00BD47B3"/>
    <w:rsid w:val="00BE5EC7"/>
    <w:rsid w:val="00BF36E5"/>
    <w:rsid w:val="00BF4DA5"/>
    <w:rsid w:val="00C03994"/>
    <w:rsid w:val="00C06231"/>
    <w:rsid w:val="00C23612"/>
    <w:rsid w:val="00C2459A"/>
    <w:rsid w:val="00C33E49"/>
    <w:rsid w:val="00C36219"/>
    <w:rsid w:val="00C446E8"/>
    <w:rsid w:val="00C46352"/>
    <w:rsid w:val="00C5739F"/>
    <w:rsid w:val="00C573E9"/>
    <w:rsid w:val="00C70260"/>
    <w:rsid w:val="00C7190B"/>
    <w:rsid w:val="00C7215C"/>
    <w:rsid w:val="00C745FF"/>
    <w:rsid w:val="00CC2EAB"/>
    <w:rsid w:val="00CC7ED9"/>
    <w:rsid w:val="00CD4101"/>
    <w:rsid w:val="00CD4DFA"/>
    <w:rsid w:val="00CD7C04"/>
    <w:rsid w:val="00CF41FD"/>
    <w:rsid w:val="00D11436"/>
    <w:rsid w:val="00D1286A"/>
    <w:rsid w:val="00D3040B"/>
    <w:rsid w:val="00D31921"/>
    <w:rsid w:val="00D32161"/>
    <w:rsid w:val="00D33536"/>
    <w:rsid w:val="00D364B2"/>
    <w:rsid w:val="00D40FB1"/>
    <w:rsid w:val="00D45A5F"/>
    <w:rsid w:val="00D51739"/>
    <w:rsid w:val="00D568F3"/>
    <w:rsid w:val="00D63B14"/>
    <w:rsid w:val="00D63FE0"/>
    <w:rsid w:val="00D65EDE"/>
    <w:rsid w:val="00D73C8E"/>
    <w:rsid w:val="00D76833"/>
    <w:rsid w:val="00D76A72"/>
    <w:rsid w:val="00D76CE2"/>
    <w:rsid w:val="00D81F27"/>
    <w:rsid w:val="00D91461"/>
    <w:rsid w:val="00D91F23"/>
    <w:rsid w:val="00D92789"/>
    <w:rsid w:val="00D9305C"/>
    <w:rsid w:val="00D94641"/>
    <w:rsid w:val="00D94E1E"/>
    <w:rsid w:val="00DA2277"/>
    <w:rsid w:val="00DB3ED8"/>
    <w:rsid w:val="00DB4A37"/>
    <w:rsid w:val="00DB6AA6"/>
    <w:rsid w:val="00DB6F1B"/>
    <w:rsid w:val="00DC01DE"/>
    <w:rsid w:val="00DC48B5"/>
    <w:rsid w:val="00DD05C7"/>
    <w:rsid w:val="00DD3BDD"/>
    <w:rsid w:val="00DD4C8C"/>
    <w:rsid w:val="00DE05B1"/>
    <w:rsid w:val="00DE2B52"/>
    <w:rsid w:val="00DE6B8E"/>
    <w:rsid w:val="00DF7E87"/>
    <w:rsid w:val="00E14F42"/>
    <w:rsid w:val="00E15FD9"/>
    <w:rsid w:val="00E25FFE"/>
    <w:rsid w:val="00E368FB"/>
    <w:rsid w:val="00E37CD6"/>
    <w:rsid w:val="00E43343"/>
    <w:rsid w:val="00E4457F"/>
    <w:rsid w:val="00E44B32"/>
    <w:rsid w:val="00E46AFD"/>
    <w:rsid w:val="00E50EB1"/>
    <w:rsid w:val="00E5245C"/>
    <w:rsid w:val="00E546C8"/>
    <w:rsid w:val="00E56517"/>
    <w:rsid w:val="00E60571"/>
    <w:rsid w:val="00E660D9"/>
    <w:rsid w:val="00E830F6"/>
    <w:rsid w:val="00E832F0"/>
    <w:rsid w:val="00E90183"/>
    <w:rsid w:val="00E9651D"/>
    <w:rsid w:val="00EB0E8B"/>
    <w:rsid w:val="00EB6906"/>
    <w:rsid w:val="00EC052B"/>
    <w:rsid w:val="00EC25BA"/>
    <w:rsid w:val="00EF1747"/>
    <w:rsid w:val="00EF4ED8"/>
    <w:rsid w:val="00F04B8F"/>
    <w:rsid w:val="00F14C4F"/>
    <w:rsid w:val="00F22F3A"/>
    <w:rsid w:val="00F22FF6"/>
    <w:rsid w:val="00F27CE4"/>
    <w:rsid w:val="00F3049E"/>
    <w:rsid w:val="00F3112B"/>
    <w:rsid w:val="00F332D6"/>
    <w:rsid w:val="00F4320B"/>
    <w:rsid w:val="00F54DD1"/>
    <w:rsid w:val="00F74DB4"/>
    <w:rsid w:val="00F76603"/>
    <w:rsid w:val="00F77C00"/>
    <w:rsid w:val="00F91FA0"/>
    <w:rsid w:val="00FA09E2"/>
    <w:rsid w:val="00FA34D4"/>
    <w:rsid w:val="00FA389C"/>
    <w:rsid w:val="00FB2F40"/>
    <w:rsid w:val="00FB6619"/>
    <w:rsid w:val="00FC23A4"/>
    <w:rsid w:val="00FD2718"/>
    <w:rsid w:val="00FE08B2"/>
    <w:rsid w:val="00FE754B"/>
    <w:rsid w:val="00FF7ED6"/>
    <w:rsid w:val="6C66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annotation text"/>
    <w:basedOn w:val="1"/>
    <w:link w:val="16"/>
    <w:semiHidden/>
    <w:unhideWhenUsed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semiHidden/>
    <w:unhideWhenUsed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9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9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4"/>
    </w:rPr>
  </w:style>
  <w:style w:type="character" w:customStyle="1" w:styleId="16">
    <w:name w:val="批注文字 Char"/>
    <w:basedOn w:val="9"/>
    <w:link w:val="3"/>
    <w:semiHidden/>
    <w:uiPriority w:val="99"/>
    <w:rPr>
      <w:rFonts w:ascii="Calibri" w:hAnsi="Calibri" w:eastAsia="宋体" w:cs="Times New Roman"/>
    </w:rPr>
  </w:style>
  <w:style w:type="character" w:customStyle="1" w:styleId="17">
    <w:name w:val="批注主题 Char"/>
    <w:basedOn w:val="16"/>
    <w:link w:val="7"/>
    <w:semiHidden/>
    <w:uiPriority w:val="99"/>
    <w:rPr>
      <w:rFonts w:ascii="Calibri" w:hAnsi="Calibri" w:eastAsia="宋体" w:cs="Times New Roman"/>
      <w:b/>
      <w:bCs/>
    </w:rPr>
  </w:style>
  <w:style w:type="paragraph" w:customStyle="1" w:styleId="18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自定义 1">
      <a:dk1>
        <a:srgbClr val="7F7F7F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A3061D-959D-4DB5-B716-34EFD937E1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735</Words>
  <Characters>4195</Characters>
  <Lines>34</Lines>
  <Paragraphs>9</Paragraphs>
  <TotalTime>17</TotalTime>
  <ScaleCrop>false</ScaleCrop>
  <LinksUpToDate>false</LinksUpToDate>
  <CharactersWithSpaces>4921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2021-06-17T07:29:00Z</dcterms:created>
  <dc:creator>Administrator</dc:creator>
  <cp:lastModifiedBy>赵小莉</cp:lastModifiedBy>
  <dcterms:modified xsi:type="dcterms:W3CDTF">2021-12-26T14:15:52Z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ADDA8B5AF4FE400BB65EEC18F60FC3A7</vt:lpwstr>
  </property>
</Properties>
</file>