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6C4" w:rsidRPr="009578A2" w:rsidRDefault="00230077" w:rsidP="005D24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643539" w:rsidRPr="009578A2" w:rsidRDefault="00EF4346" w:rsidP="00EF4346">
      <w:pPr>
        <w:spacing w:afterLines="50" w:after="156" w:line="360" w:lineRule="auto"/>
        <w:rPr>
          <w:rFonts w:ascii="Times New Roman" w:hAnsi="Times New Roman" w:cs="Times New Roman"/>
          <w:sz w:val="20"/>
          <w:szCs w:val="20"/>
        </w:rPr>
      </w:pPr>
      <w:r w:rsidRPr="009578A2">
        <w:rPr>
          <w:rFonts w:ascii="Times New Roman" w:hAnsi="Times New Roman" w:cs="Times New Roman"/>
          <w:b/>
          <w:sz w:val="20"/>
          <w:szCs w:val="20"/>
        </w:rPr>
        <w:t>Table S1</w:t>
      </w:r>
      <w:r w:rsidRPr="009578A2">
        <w:rPr>
          <w:rFonts w:ascii="Times New Roman" w:hAnsi="Times New Roman" w:cs="Times New Roman"/>
          <w:sz w:val="20"/>
          <w:szCs w:val="20"/>
        </w:rPr>
        <w:t xml:space="preserve"> Sequences of the primers used in this study</w:t>
      </w:r>
      <w:r w:rsidR="00643539" w:rsidRPr="009578A2">
        <w:rPr>
          <w:rFonts w:ascii="Times New Roman" w:hAnsi="Times New Roman" w:cs="Times New Roman"/>
          <w:sz w:val="20"/>
          <w:szCs w:val="20"/>
        </w:rPr>
        <w:fldChar w:fldCharType="begin"/>
      </w:r>
      <w:r w:rsidR="00643539" w:rsidRPr="009578A2">
        <w:rPr>
          <w:rFonts w:ascii="Times New Roman" w:hAnsi="Times New Roman" w:cs="Times New Roman"/>
          <w:sz w:val="20"/>
          <w:szCs w:val="20"/>
        </w:rPr>
        <w:instrText xml:space="preserve"> LINK Excel.Sheet.12 "C:\\Users\\82197\\Desktop\\20.11.16 </w:instrText>
      </w:r>
      <w:r w:rsidR="00643539" w:rsidRPr="009578A2">
        <w:rPr>
          <w:rFonts w:ascii="Times New Roman" w:hAnsi="Times New Roman" w:cs="Times New Roman"/>
          <w:sz w:val="20"/>
          <w:szCs w:val="20"/>
        </w:rPr>
        <w:instrText>送出的小麦</w:instrText>
      </w:r>
      <w:r w:rsidR="00643539" w:rsidRPr="009578A2">
        <w:rPr>
          <w:rFonts w:ascii="Times New Roman" w:hAnsi="Times New Roman" w:cs="Times New Roman"/>
          <w:sz w:val="20"/>
          <w:szCs w:val="20"/>
        </w:rPr>
        <w:instrText>5</w:instrText>
      </w:r>
      <w:r w:rsidR="00643539" w:rsidRPr="009578A2">
        <w:rPr>
          <w:rFonts w:ascii="Times New Roman" w:hAnsi="Times New Roman" w:cs="Times New Roman"/>
          <w:sz w:val="20"/>
          <w:szCs w:val="20"/>
        </w:rPr>
        <w:instrText>个</w:instrText>
      </w:r>
      <w:r w:rsidR="00643539" w:rsidRPr="009578A2">
        <w:rPr>
          <w:rFonts w:ascii="Times New Roman" w:hAnsi="Times New Roman" w:cs="Times New Roman"/>
          <w:sz w:val="20"/>
          <w:szCs w:val="20"/>
        </w:rPr>
        <w:instrText>HMA2</w:instrText>
      </w:r>
      <w:r w:rsidR="00643539" w:rsidRPr="009578A2">
        <w:rPr>
          <w:rFonts w:ascii="Times New Roman" w:hAnsi="Times New Roman" w:cs="Times New Roman"/>
          <w:sz w:val="20"/>
          <w:szCs w:val="20"/>
        </w:rPr>
        <w:instrText>定量引物</w:instrText>
      </w:r>
      <w:r w:rsidR="00643539" w:rsidRPr="009578A2">
        <w:rPr>
          <w:rFonts w:ascii="Times New Roman" w:hAnsi="Times New Roman" w:cs="Times New Roman"/>
          <w:sz w:val="20"/>
          <w:szCs w:val="20"/>
        </w:rPr>
        <w:instrText xml:space="preserve">.xlsx" "Sheet2!R6C1:R12C4" \a \f 5 \h  \* MERGEFORMAT </w:instrText>
      </w:r>
      <w:r w:rsidR="00643539" w:rsidRPr="009578A2">
        <w:rPr>
          <w:rFonts w:ascii="Times New Roman" w:hAnsi="Times New Roman" w:cs="Times New Roman"/>
          <w:sz w:val="20"/>
          <w:szCs w:val="20"/>
        </w:rPr>
        <w:fldChar w:fldCharType="separate"/>
      </w:r>
    </w:p>
    <w:tbl>
      <w:tblPr>
        <w:tblStyle w:val="a5"/>
        <w:tblW w:w="83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2"/>
        <w:gridCol w:w="1090"/>
        <w:gridCol w:w="3715"/>
        <w:gridCol w:w="2039"/>
      </w:tblGrid>
      <w:tr w:rsidR="00EF4346" w:rsidRPr="009578A2" w:rsidTr="00EF4346">
        <w:trPr>
          <w:trHeight w:val="221"/>
        </w:trPr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480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43539" w:rsidRPr="009578A2" w:rsidRDefault="00643539" w:rsidP="00EF4346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Primer sequence</w:t>
            </w:r>
          </w:p>
        </w:tc>
        <w:tc>
          <w:tcPr>
            <w:tcW w:w="20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Experiment</w:t>
            </w:r>
          </w:p>
        </w:tc>
      </w:tr>
      <w:tr w:rsidR="00EF4346" w:rsidRPr="009578A2" w:rsidTr="00EF4346">
        <w:trPr>
          <w:trHeight w:val="221"/>
        </w:trPr>
        <w:tc>
          <w:tcPr>
            <w:tcW w:w="1462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i/>
                <w:sz w:val="20"/>
                <w:szCs w:val="20"/>
              </w:rPr>
              <w:t>TaHMA2b-7A</w:t>
            </w:r>
          </w:p>
        </w:tc>
        <w:tc>
          <w:tcPr>
            <w:tcW w:w="1090" w:type="dxa"/>
            <w:tcBorders>
              <w:top w:val="single" w:sz="4" w:space="0" w:color="auto"/>
            </w:tcBorders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 xml:space="preserve">Forward </w:t>
            </w:r>
          </w:p>
        </w:tc>
        <w:tc>
          <w:tcPr>
            <w:tcW w:w="3715" w:type="dxa"/>
            <w:tcBorders>
              <w:top w:val="single" w:sz="4" w:space="0" w:color="auto"/>
            </w:tcBorders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ATGTGAAACAGTTCCAGAGGTA</w:t>
            </w:r>
          </w:p>
        </w:tc>
        <w:tc>
          <w:tcPr>
            <w:tcW w:w="2039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RT-qPCR</w:t>
            </w:r>
          </w:p>
        </w:tc>
      </w:tr>
      <w:tr w:rsidR="00EF4346" w:rsidRPr="009578A2" w:rsidTr="00EF4346">
        <w:trPr>
          <w:trHeight w:val="221"/>
        </w:trPr>
        <w:tc>
          <w:tcPr>
            <w:tcW w:w="1462" w:type="dxa"/>
            <w:vMerge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90" w:type="dxa"/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 xml:space="preserve">Reverse </w:t>
            </w:r>
          </w:p>
        </w:tc>
        <w:tc>
          <w:tcPr>
            <w:tcW w:w="3715" w:type="dxa"/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GTCCGAGAGACCGAATAGC</w:t>
            </w:r>
          </w:p>
        </w:tc>
        <w:tc>
          <w:tcPr>
            <w:tcW w:w="2039" w:type="dxa"/>
            <w:vMerge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4346" w:rsidRPr="009578A2" w:rsidTr="00EF4346">
        <w:trPr>
          <w:trHeight w:val="221"/>
        </w:trPr>
        <w:tc>
          <w:tcPr>
            <w:tcW w:w="1462" w:type="dxa"/>
            <w:vMerge w:val="restart"/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9578A2">
              <w:rPr>
                <w:rFonts w:ascii="Times New Roman" w:hAnsi="Times New Roman" w:cs="Times New Roman"/>
                <w:i/>
                <w:sz w:val="20"/>
                <w:szCs w:val="20"/>
              </w:rPr>
              <w:t>TaGAPDH</w:t>
            </w:r>
            <w:proofErr w:type="spellEnd"/>
          </w:p>
        </w:tc>
        <w:tc>
          <w:tcPr>
            <w:tcW w:w="1090" w:type="dxa"/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 xml:space="preserve">Forward </w:t>
            </w:r>
          </w:p>
        </w:tc>
        <w:tc>
          <w:tcPr>
            <w:tcW w:w="3715" w:type="dxa"/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AAGGCTGTTGGCAAGGTG</w:t>
            </w:r>
          </w:p>
        </w:tc>
        <w:tc>
          <w:tcPr>
            <w:tcW w:w="2039" w:type="dxa"/>
            <w:vMerge w:val="restart"/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RT-qPCR internal reference</w:t>
            </w:r>
          </w:p>
        </w:tc>
      </w:tr>
      <w:tr w:rsidR="00EF4346" w:rsidRPr="009578A2" w:rsidTr="00EF4346">
        <w:trPr>
          <w:trHeight w:val="221"/>
        </w:trPr>
        <w:tc>
          <w:tcPr>
            <w:tcW w:w="1462" w:type="dxa"/>
            <w:vMerge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90" w:type="dxa"/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 xml:space="preserve">Reverse </w:t>
            </w:r>
          </w:p>
        </w:tc>
        <w:tc>
          <w:tcPr>
            <w:tcW w:w="3715" w:type="dxa"/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GTGGTCGTTCAGAGCAATCC</w:t>
            </w:r>
          </w:p>
        </w:tc>
        <w:tc>
          <w:tcPr>
            <w:tcW w:w="2039" w:type="dxa"/>
            <w:vMerge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4346" w:rsidRPr="009578A2" w:rsidTr="00EF4346">
        <w:trPr>
          <w:trHeight w:val="221"/>
        </w:trPr>
        <w:tc>
          <w:tcPr>
            <w:tcW w:w="1462" w:type="dxa"/>
            <w:vMerge w:val="restart"/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i/>
                <w:sz w:val="20"/>
                <w:szCs w:val="20"/>
              </w:rPr>
              <w:t>TaHMA2b-7A</w:t>
            </w:r>
          </w:p>
        </w:tc>
        <w:tc>
          <w:tcPr>
            <w:tcW w:w="1090" w:type="dxa"/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715" w:type="dxa"/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ATGGCGGGCAGGCAGGAG</w:t>
            </w:r>
          </w:p>
        </w:tc>
        <w:tc>
          <w:tcPr>
            <w:tcW w:w="2039" w:type="dxa"/>
            <w:vMerge w:val="restart"/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full-length CDS cloning</w:t>
            </w:r>
          </w:p>
        </w:tc>
      </w:tr>
      <w:tr w:rsidR="00EF4346" w:rsidRPr="009578A2" w:rsidTr="00EF4346">
        <w:trPr>
          <w:trHeight w:val="221"/>
        </w:trPr>
        <w:tc>
          <w:tcPr>
            <w:tcW w:w="1462" w:type="dxa"/>
            <w:vMerge/>
            <w:tcBorders>
              <w:bottom w:val="single" w:sz="4" w:space="0" w:color="auto"/>
            </w:tcBorders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0" w:type="dxa"/>
            <w:tcBorders>
              <w:bottom w:val="single" w:sz="4" w:space="0" w:color="auto"/>
            </w:tcBorders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 xml:space="preserve">Reverse </w:t>
            </w:r>
          </w:p>
        </w:tc>
        <w:tc>
          <w:tcPr>
            <w:tcW w:w="3715" w:type="dxa"/>
            <w:tcBorders>
              <w:bottom w:val="single" w:sz="4" w:space="0" w:color="auto"/>
            </w:tcBorders>
            <w:noWrap/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CTACTCCACCACGATCTCAGGCA</w:t>
            </w:r>
          </w:p>
        </w:tc>
        <w:tc>
          <w:tcPr>
            <w:tcW w:w="2039" w:type="dxa"/>
            <w:vMerge/>
            <w:tcBorders>
              <w:bottom w:val="single" w:sz="4" w:space="0" w:color="auto"/>
            </w:tcBorders>
            <w:hideMark/>
          </w:tcPr>
          <w:p w:rsidR="00643539" w:rsidRPr="009578A2" w:rsidRDefault="00643539" w:rsidP="0064353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43539" w:rsidRPr="009578A2" w:rsidRDefault="00643539" w:rsidP="005D24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578A2">
        <w:rPr>
          <w:rFonts w:ascii="Times New Roman" w:hAnsi="Times New Roman" w:cs="Times New Roman"/>
          <w:sz w:val="20"/>
          <w:szCs w:val="20"/>
        </w:rPr>
        <w:fldChar w:fldCharType="end"/>
      </w:r>
    </w:p>
    <w:p w:rsidR="00643539" w:rsidRPr="009578A2" w:rsidRDefault="00643539" w:rsidP="005D24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643539" w:rsidRPr="009578A2" w:rsidRDefault="00643539" w:rsidP="005D24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643539" w:rsidRPr="009578A2" w:rsidRDefault="00643539" w:rsidP="005D24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EF4346" w:rsidRPr="009578A2" w:rsidRDefault="00EF4346" w:rsidP="005D24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EF4346" w:rsidRPr="009578A2" w:rsidRDefault="00EF4346" w:rsidP="005D24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EF4346" w:rsidRPr="009578A2" w:rsidRDefault="00EF4346" w:rsidP="005D241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EF4346" w:rsidRPr="009578A2" w:rsidRDefault="00EF4346" w:rsidP="005D241C">
      <w:pPr>
        <w:spacing w:line="360" w:lineRule="auto"/>
        <w:rPr>
          <w:rFonts w:ascii="Times New Roman" w:hAnsi="Times New Roman" w:cs="Times New Roman"/>
          <w:sz w:val="20"/>
          <w:szCs w:val="20"/>
        </w:rPr>
        <w:sectPr w:rsidR="00EF4346" w:rsidRPr="009578A2" w:rsidSect="00EF4346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F4346" w:rsidRPr="009578A2" w:rsidRDefault="00EF4346" w:rsidP="00EF4346">
      <w:pPr>
        <w:spacing w:afterLines="50" w:after="156" w:line="360" w:lineRule="auto"/>
        <w:rPr>
          <w:rFonts w:ascii="Times New Roman" w:hAnsi="Times New Roman" w:cs="Times New Roman"/>
          <w:sz w:val="20"/>
          <w:szCs w:val="20"/>
        </w:rPr>
      </w:pPr>
      <w:r w:rsidRPr="009578A2">
        <w:rPr>
          <w:rFonts w:ascii="Times New Roman" w:hAnsi="Times New Roman" w:cs="Times New Roman"/>
          <w:b/>
          <w:sz w:val="20"/>
          <w:szCs w:val="20"/>
        </w:rPr>
        <w:lastRenderedPageBreak/>
        <w:t>Table S2</w:t>
      </w:r>
      <w:r w:rsidRPr="009578A2">
        <w:rPr>
          <w:rFonts w:ascii="Times New Roman" w:hAnsi="Times New Roman" w:cs="Times New Roman"/>
          <w:sz w:val="20"/>
          <w:szCs w:val="20"/>
        </w:rPr>
        <w:t xml:space="preserve"> Overview of the whole-genome resequencing data in this study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0"/>
        <w:gridCol w:w="1485"/>
        <w:gridCol w:w="1800"/>
        <w:gridCol w:w="1377"/>
        <w:gridCol w:w="792"/>
        <w:gridCol w:w="851"/>
        <w:gridCol w:w="1559"/>
        <w:gridCol w:w="1701"/>
        <w:gridCol w:w="2004"/>
        <w:gridCol w:w="1445"/>
      </w:tblGrid>
      <w:tr w:rsidR="007401D0" w:rsidRPr="009578A2" w:rsidTr="00EF4346">
        <w:trPr>
          <w:trHeight w:val="401"/>
        </w:trPr>
        <w:tc>
          <w:tcPr>
            <w:tcW w:w="9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Raw data (Gb)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Clean data (Gb)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Error rate (%)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Q20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Q30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GC content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Mapping rate (%)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Average depth (x)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Coverage (%)</w:t>
            </w:r>
          </w:p>
        </w:tc>
      </w:tr>
      <w:tr w:rsidR="007401D0" w:rsidRPr="009578A2" w:rsidTr="00EF4346">
        <w:trPr>
          <w:trHeight w:val="401"/>
        </w:trPr>
        <w:tc>
          <w:tcPr>
            <w:tcW w:w="920" w:type="dxa"/>
            <w:tcBorders>
              <w:top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ZM1860</w:t>
            </w:r>
          </w:p>
        </w:tc>
        <w:tc>
          <w:tcPr>
            <w:tcW w:w="1485" w:type="dxa"/>
            <w:tcBorders>
              <w:top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171.8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170.5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92" w:type="dxa"/>
            <w:tcBorders>
              <w:top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97.38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92.93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45.97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98.91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10.21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="00C615B8" w:rsidRPr="009578A2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</w:tr>
      <w:tr w:rsidR="007401D0" w:rsidRPr="009578A2" w:rsidTr="00EF4346">
        <w:trPr>
          <w:trHeight w:val="401"/>
        </w:trPr>
        <w:tc>
          <w:tcPr>
            <w:tcW w:w="920" w:type="dxa"/>
            <w:tcBorders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ZM32</w:t>
            </w:r>
          </w:p>
        </w:tc>
        <w:tc>
          <w:tcPr>
            <w:tcW w:w="1485" w:type="dxa"/>
            <w:tcBorders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  <w:r w:rsidR="00C615B8" w:rsidRPr="009578A2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192.5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92" w:type="dxa"/>
            <w:tcBorders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97.24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92.63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46.11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98.88</w:t>
            </w:r>
          </w:p>
        </w:tc>
        <w:tc>
          <w:tcPr>
            <w:tcW w:w="2004" w:type="dxa"/>
            <w:tcBorders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11.51</w:t>
            </w:r>
          </w:p>
        </w:tc>
        <w:tc>
          <w:tcPr>
            <w:tcW w:w="1445" w:type="dxa"/>
            <w:tcBorders>
              <w:bottom w:val="single" w:sz="4" w:space="0" w:color="auto"/>
            </w:tcBorders>
            <w:noWrap/>
            <w:hideMark/>
          </w:tcPr>
          <w:p w:rsidR="00746037" w:rsidRPr="009578A2" w:rsidRDefault="00746037" w:rsidP="007B64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95.21</w:t>
            </w:r>
          </w:p>
        </w:tc>
      </w:tr>
    </w:tbl>
    <w:p w:rsidR="00746037" w:rsidRPr="009578A2" w:rsidRDefault="00746037">
      <w:pPr>
        <w:rPr>
          <w:rFonts w:ascii="Times New Roman" w:hAnsi="Times New Roman" w:cs="Times New Roman"/>
          <w:sz w:val="20"/>
          <w:szCs w:val="20"/>
        </w:rPr>
      </w:pPr>
    </w:p>
    <w:p w:rsidR="007401D0" w:rsidRPr="009578A2" w:rsidRDefault="007401D0">
      <w:pPr>
        <w:rPr>
          <w:rFonts w:ascii="Times New Roman" w:hAnsi="Times New Roman" w:cs="Times New Roman"/>
          <w:sz w:val="20"/>
          <w:szCs w:val="20"/>
        </w:rPr>
        <w:sectPr w:rsidR="007401D0" w:rsidRPr="009578A2" w:rsidSect="007401D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746037" w:rsidRPr="009578A2" w:rsidRDefault="00C615B8" w:rsidP="00C615B8">
      <w:pPr>
        <w:spacing w:afterLines="50" w:after="156"/>
        <w:rPr>
          <w:rFonts w:ascii="Times New Roman" w:hAnsi="Times New Roman" w:cs="Times New Roman"/>
          <w:sz w:val="20"/>
          <w:szCs w:val="20"/>
        </w:rPr>
      </w:pPr>
      <w:r w:rsidRPr="009578A2">
        <w:rPr>
          <w:rFonts w:ascii="Times New Roman" w:hAnsi="Times New Roman" w:cs="Times New Roman"/>
          <w:b/>
          <w:sz w:val="20"/>
          <w:szCs w:val="20"/>
        </w:rPr>
        <w:lastRenderedPageBreak/>
        <w:t>Table S3</w:t>
      </w:r>
      <w:r w:rsidRPr="009578A2">
        <w:rPr>
          <w:rFonts w:ascii="Times New Roman" w:hAnsi="Times New Roman" w:cs="Times New Roman"/>
          <w:sz w:val="20"/>
          <w:szCs w:val="20"/>
        </w:rPr>
        <w:t xml:space="preserve"> Overview of the transcriptome resequencing data in this study</w:t>
      </w:r>
    </w:p>
    <w:tbl>
      <w:tblPr>
        <w:tblStyle w:val="a5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855"/>
        <w:gridCol w:w="1026"/>
        <w:gridCol w:w="1113"/>
        <w:gridCol w:w="856"/>
        <w:gridCol w:w="515"/>
        <w:gridCol w:w="515"/>
        <w:gridCol w:w="949"/>
        <w:gridCol w:w="1355"/>
      </w:tblGrid>
      <w:tr w:rsidR="00CA63D7" w:rsidRPr="009578A2" w:rsidTr="00CA63D7">
        <w:trPr>
          <w:trHeight w:val="290"/>
          <w:jc w:val="right"/>
        </w:trPr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D4877" w:rsidRPr="009578A2" w:rsidRDefault="00CA63D7" w:rsidP="00CA63D7">
            <w:pPr>
              <w:jc w:val="center"/>
              <w:rPr>
                <w:rFonts w:ascii="Times New Roman" w:hAnsi="Times New Roman" w:cs="Times New Roman"/>
                <w:bCs/>
                <w:sz w:val="13"/>
                <w:szCs w:val="20"/>
              </w:rPr>
            </w:pPr>
            <w:bookmarkStart w:id="0" w:name="_GoBack"/>
            <w:r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S</w:t>
            </w:r>
            <w:r w:rsidR="00FD4877"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ample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A63D7" w:rsidRPr="009578A2" w:rsidRDefault="00CA63D7" w:rsidP="00CA63D7">
            <w:pPr>
              <w:jc w:val="center"/>
              <w:rPr>
                <w:rFonts w:ascii="Times New Roman" w:hAnsi="Times New Roman" w:cs="Times New Roman"/>
                <w:bCs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Raw</w:t>
            </w:r>
          </w:p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bCs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reads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A63D7" w:rsidRPr="009578A2" w:rsidRDefault="00CA63D7" w:rsidP="00CA63D7">
            <w:pPr>
              <w:jc w:val="center"/>
              <w:rPr>
                <w:rFonts w:ascii="Times New Roman" w:hAnsi="Times New Roman" w:cs="Times New Roman"/>
                <w:bCs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Clean</w:t>
            </w:r>
          </w:p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bCs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reads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A63D7" w:rsidRPr="009578A2" w:rsidRDefault="00CA63D7" w:rsidP="00CA63D7">
            <w:pPr>
              <w:jc w:val="center"/>
              <w:rPr>
                <w:rFonts w:ascii="Times New Roman" w:hAnsi="Times New Roman" w:cs="Times New Roman"/>
                <w:bCs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Clean</w:t>
            </w:r>
          </w:p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bCs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bases</w:t>
            </w:r>
            <w:r w:rsidR="00CA63D7"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 xml:space="preserve"> (G)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A63D7" w:rsidRPr="009578A2" w:rsidRDefault="00CA63D7" w:rsidP="00CA63D7">
            <w:pPr>
              <w:jc w:val="center"/>
              <w:rPr>
                <w:rFonts w:ascii="Times New Roman" w:hAnsi="Times New Roman" w:cs="Times New Roman"/>
                <w:bCs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Error</w:t>
            </w:r>
          </w:p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bCs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rate</w:t>
            </w: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bCs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Q20</w:t>
            </w:r>
          </w:p>
          <w:p w:rsidR="00CA63D7" w:rsidRPr="009578A2" w:rsidRDefault="00CA63D7" w:rsidP="00CA63D7">
            <w:pPr>
              <w:jc w:val="center"/>
              <w:rPr>
                <w:rFonts w:ascii="Times New Roman" w:hAnsi="Times New Roman" w:cs="Times New Roman"/>
                <w:bCs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(%)</w:t>
            </w: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bCs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Q30</w:t>
            </w:r>
          </w:p>
          <w:p w:rsidR="00CA63D7" w:rsidRPr="009578A2" w:rsidRDefault="00CA63D7" w:rsidP="00CA63D7">
            <w:pPr>
              <w:jc w:val="center"/>
              <w:rPr>
                <w:rFonts w:ascii="Times New Roman" w:hAnsi="Times New Roman" w:cs="Times New Roman"/>
                <w:bCs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(%)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D4877" w:rsidRPr="009578A2" w:rsidRDefault="00CA63D7" w:rsidP="00CA63D7">
            <w:pPr>
              <w:jc w:val="center"/>
              <w:rPr>
                <w:rFonts w:ascii="Times New Roman" w:hAnsi="Times New Roman" w:cs="Times New Roman"/>
                <w:bCs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bCs/>
                <w:sz w:val="13"/>
                <w:szCs w:val="20"/>
              </w:rPr>
              <w:t>GC content (%)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D4877" w:rsidRPr="009578A2" w:rsidRDefault="00CA63D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Mapping rate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tcBorders>
              <w:top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CS1_ZM1860</w:t>
            </w:r>
          </w:p>
        </w:tc>
        <w:tc>
          <w:tcPr>
            <w:tcW w:w="855" w:type="dxa"/>
            <w:tcBorders>
              <w:top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592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446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526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6.82</w:t>
            </w:r>
          </w:p>
        </w:tc>
        <w:tc>
          <w:tcPr>
            <w:tcW w:w="856" w:type="dxa"/>
            <w:tcBorders>
              <w:top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tcBorders>
              <w:top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97.75</w:t>
            </w:r>
          </w:p>
        </w:tc>
        <w:tc>
          <w:tcPr>
            <w:tcW w:w="515" w:type="dxa"/>
            <w:tcBorders>
              <w:top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93.88</w:t>
            </w:r>
          </w:p>
        </w:tc>
        <w:tc>
          <w:tcPr>
            <w:tcW w:w="949" w:type="dxa"/>
            <w:tcBorders>
              <w:top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57.94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997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093</w:t>
            </w:r>
            <w:r w:rsidR="00CA63D7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(94.57%)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CS2_ZM1860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010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354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118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718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6.77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97.7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93.73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57.31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601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429</w:t>
            </w:r>
            <w:r w:rsidR="00CA63D7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(94.42%)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CS3_ZM1860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47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774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422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542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222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6.98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97.58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93.54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57.46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43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890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442</w:t>
            </w:r>
            <w:r w:rsidR="00CA63D7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(94.3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0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CR1_ZM1860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874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614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733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440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6.86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97.79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93.9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0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56.39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681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511</w:t>
            </w:r>
            <w:r w:rsidR="00CA63D7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(93.33%)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CR2_ZM1860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45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536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498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481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816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6.67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97.76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93.91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56.17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718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468</w:t>
            </w:r>
            <w:r w:rsidR="00CA63D7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(93.79%)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CR3_ZM1860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924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330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758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484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6.86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97.55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93.43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56.59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828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854(93.6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0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CS1_ZM32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47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355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256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487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962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6.97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97.8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93.97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57.33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028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566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(94.71%)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CS2_ZM32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49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938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368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959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146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7.34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97.67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93.71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57.77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092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167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(94.14%)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CS3_ZM32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136</w:t>
            </w:r>
            <w:r w:rsidR="0038720B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410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287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206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6.79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97.53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93.48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59.03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801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106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(94.51%)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CR1_ZM32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083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198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788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320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6.87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97.53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93.49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56.8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439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857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(92.69%)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CR2_ZM32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264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200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866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414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7.03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97.62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93.66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56.91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796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646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(91.32%)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CR3_ZM32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205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840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43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948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732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6.59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97.52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93.42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56.91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623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488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(92.43%)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TS1_ZM1860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732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824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680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392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0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97.67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93.73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58.21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235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720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(94.53%)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TS2_ZM1860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052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562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967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908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7.05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97.48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93.22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58.13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390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402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(94.51%)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TS3_ZM1860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954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730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810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366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6.72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97.67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93.71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58.22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387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091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(94.59%)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TR1_ZM1860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940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402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885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834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7.18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97.61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93.5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56.64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780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212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(93.51%)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TR2_ZM1860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338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028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132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716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8.12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97.7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93.7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56.33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633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244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(93.54%)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TR3_ZM1860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927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546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603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994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6.69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97.68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93.73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56.43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508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743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(93.06%)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TS1_ZM32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876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600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147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514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7.52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97.76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93.87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57.65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204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876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(94.13%)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TS2_ZM32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057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332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255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652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7.09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97.7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93.75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58.08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701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027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(94.59%)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TS3_ZM32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241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280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231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630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6.93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97.66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93.75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57.39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43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470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596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(94.03%)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TR1_ZM32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561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406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49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388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7.42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97.6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93.55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56.53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894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899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(92.79%)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TR2_ZM32</w:t>
            </w:r>
          </w:p>
        </w:tc>
        <w:tc>
          <w:tcPr>
            <w:tcW w:w="8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318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956</w:t>
            </w:r>
          </w:p>
        </w:tc>
        <w:tc>
          <w:tcPr>
            <w:tcW w:w="102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44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288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026</w:t>
            </w:r>
          </w:p>
        </w:tc>
        <w:tc>
          <w:tcPr>
            <w:tcW w:w="1113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6.64</w:t>
            </w:r>
          </w:p>
        </w:tc>
        <w:tc>
          <w:tcPr>
            <w:tcW w:w="856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97.64</w:t>
            </w:r>
          </w:p>
        </w:tc>
        <w:tc>
          <w:tcPr>
            <w:tcW w:w="51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93.67</w:t>
            </w:r>
          </w:p>
        </w:tc>
        <w:tc>
          <w:tcPr>
            <w:tcW w:w="949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56.27</w:t>
            </w:r>
          </w:p>
        </w:tc>
        <w:tc>
          <w:tcPr>
            <w:tcW w:w="1355" w:type="dxa"/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301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373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(91.0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0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%)</w:t>
            </w:r>
          </w:p>
        </w:tc>
      </w:tr>
      <w:tr w:rsidR="00CA63D7" w:rsidRPr="009578A2" w:rsidTr="00CA63D7">
        <w:trPr>
          <w:trHeight w:val="290"/>
          <w:jc w:val="right"/>
        </w:trPr>
        <w:tc>
          <w:tcPr>
            <w:tcW w:w="1112" w:type="dxa"/>
            <w:tcBorders>
              <w:bottom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TR3_ZM32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46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851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692</w:t>
            </w:r>
          </w:p>
        </w:tc>
        <w:tc>
          <w:tcPr>
            <w:tcW w:w="1026" w:type="dxa"/>
            <w:tcBorders>
              <w:bottom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265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732</w:t>
            </w:r>
          </w:p>
        </w:tc>
        <w:tc>
          <w:tcPr>
            <w:tcW w:w="1113" w:type="dxa"/>
            <w:tcBorders>
              <w:bottom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6.79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0.03</w:t>
            </w:r>
          </w:p>
        </w:tc>
        <w:tc>
          <w:tcPr>
            <w:tcW w:w="515" w:type="dxa"/>
            <w:tcBorders>
              <w:bottom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97.69</w:t>
            </w:r>
          </w:p>
        </w:tc>
        <w:tc>
          <w:tcPr>
            <w:tcW w:w="515" w:type="dxa"/>
            <w:tcBorders>
              <w:bottom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93.74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57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.00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noWrap/>
            <w:hideMark/>
          </w:tcPr>
          <w:p w:rsidR="00FD4877" w:rsidRPr="009578A2" w:rsidRDefault="00FD4877" w:rsidP="00CA63D7">
            <w:pPr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41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799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>,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143</w:t>
            </w:r>
            <w:r w:rsidR="00C615B8" w:rsidRPr="009578A2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 w:rsidRPr="009578A2">
              <w:rPr>
                <w:rFonts w:ascii="Times New Roman" w:hAnsi="Times New Roman" w:cs="Times New Roman"/>
                <w:sz w:val="13"/>
                <w:szCs w:val="20"/>
              </w:rPr>
              <w:t>(92.34%)</w:t>
            </w:r>
          </w:p>
        </w:tc>
      </w:tr>
      <w:bookmarkEnd w:id="0"/>
    </w:tbl>
    <w:p w:rsidR="00FD4877" w:rsidRPr="009578A2" w:rsidRDefault="00FD4877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931FFD" w:rsidRPr="009578A2" w:rsidRDefault="00F06834" w:rsidP="00F06834">
      <w:pPr>
        <w:spacing w:afterLines="50" w:after="156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9578A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S4 </w:t>
      </w:r>
      <w:r w:rsidRPr="009578A2">
        <w:rPr>
          <w:rFonts w:ascii="Times New Roman" w:hAnsi="Times New Roman" w:cs="Times New Roman"/>
          <w:i/>
          <w:sz w:val="20"/>
          <w:szCs w:val="20"/>
        </w:rPr>
        <w:t>Cis</w:t>
      </w:r>
      <w:r w:rsidRPr="009578A2">
        <w:rPr>
          <w:rFonts w:ascii="Times New Roman" w:hAnsi="Times New Roman" w:cs="Times New Roman"/>
          <w:sz w:val="20"/>
          <w:szCs w:val="20"/>
        </w:rPr>
        <w:t xml:space="preserve">-acting regulatory element analysis of the promoter region polymorphism of </w:t>
      </w:r>
      <w:r w:rsidRPr="009578A2">
        <w:rPr>
          <w:rFonts w:ascii="Times New Roman" w:hAnsi="Times New Roman" w:cs="Times New Roman"/>
          <w:i/>
          <w:sz w:val="20"/>
          <w:szCs w:val="20"/>
        </w:rPr>
        <w:t>TaHMA2b-7A</w:t>
      </w:r>
      <w:r w:rsidRPr="009578A2">
        <w:rPr>
          <w:rFonts w:ascii="Times New Roman" w:hAnsi="Times New Roman" w:cs="Times New Roman"/>
          <w:sz w:val="20"/>
          <w:szCs w:val="20"/>
        </w:rPr>
        <w:t xml:space="preserve"> between the Cd-resistant and Cd-sensitive genotypes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7025"/>
      </w:tblGrid>
      <w:tr w:rsidR="00931FFD" w:rsidRPr="009578A2" w:rsidTr="00F06834">
        <w:trPr>
          <w:trHeight w:val="280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931FFD" w:rsidRPr="009578A2" w:rsidRDefault="00931FFD" w:rsidP="00F0683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Sequence</w:t>
            </w:r>
          </w:p>
        </w:tc>
        <w:tc>
          <w:tcPr>
            <w:tcW w:w="702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931FFD" w:rsidRPr="009578A2" w:rsidRDefault="00931FFD" w:rsidP="00F0683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Functional description</w:t>
            </w:r>
          </w:p>
        </w:tc>
      </w:tr>
      <w:tr w:rsidR="00931FFD" w:rsidRPr="009578A2" w:rsidTr="00F06834">
        <w:trPr>
          <w:trHeight w:val="280"/>
        </w:trPr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931FFD" w:rsidRPr="009578A2" w:rsidRDefault="00931FFD" w:rsidP="00F0683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GTGGC</w:t>
            </w:r>
          </w:p>
        </w:tc>
        <w:tc>
          <w:tcPr>
            <w:tcW w:w="7025" w:type="dxa"/>
            <w:tcBorders>
              <w:top w:val="single" w:sz="4" w:space="0" w:color="auto"/>
            </w:tcBorders>
            <w:noWrap/>
            <w:hideMark/>
          </w:tcPr>
          <w:p w:rsidR="00931FFD" w:rsidRPr="009578A2" w:rsidRDefault="00931FFD" w:rsidP="00F06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One of "sequences over-represented in light-induced promoters (SORLIPs) in Arabidopsis</w:t>
            </w:r>
          </w:p>
        </w:tc>
      </w:tr>
      <w:tr w:rsidR="00931FFD" w:rsidRPr="009578A2" w:rsidTr="00F06834">
        <w:trPr>
          <w:trHeight w:val="840"/>
        </w:trPr>
        <w:tc>
          <w:tcPr>
            <w:tcW w:w="1271" w:type="dxa"/>
            <w:noWrap/>
            <w:hideMark/>
          </w:tcPr>
          <w:p w:rsidR="00931FFD" w:rsidRPr="009578A2" w:rsidRDefault="00931FFD" w:rsidP="00F0683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GGCCCA</w:t>
            </w:r>
          </w:p>
        </w:tc>
        <w:tc>
          <w:tcPr>
            <w:tcW w:w="7025" w:type="dxa"/>
            <w:hideMark/>
          </w:tcPr>
          <w:p w:rsidR="00931FFD" w:rsidRPr="009578A2" w:rsidRDefault="00931FFD" w:rsidP="00F06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Overrepresented in the promoters of nuclear genes encoding components of the oxidative phosphorylation (</w:t>
            </w:r>
            <w:proofErr w:type="spellStart"/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OxPhos</w:t>
            </w:r>
            <w:proofErr w:type="spellEnd"/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) machinery from both Arabidopsis and rice</w:t>
            </w:r>
          </w:p>
        </w:tc>
      </w:tr>
      <w:tr w:rsidR="00931FFD" w:rsidRPr="009578A2" w:rsidTr="00F06834">
        <w:trPr>
          <w:trHeight w:val="560"/>
        </w:trPr>
        <w:tc>
          <w:tcPr>
            <w:tcW w:w="1271" w:type="dxa"/>
            <w:noWrap/>
            <w:hideMark/>
          </w:tcPr>
          <w:p w:rsidR="00931FFD" w:rsidRPr="009578A2" w:rsidRDefault="00931FFD" w:rsidP="00F0683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GGCCC</w:t>
            </w:r>
          </w:p>
        </w:tc>
        <w:tc>
          <w:tcPr>
            <w:tcW w:w="7025" w:type="dxa"/>
            <w:hideMark/>
          </w:tcPr>
          <w:p w:rsidR="00931FFD" w:rsidRPr="009578A2" w:rsidRDefault="00931FFD" w:rsidP="00F06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One of "sequences over-represented in light-induced promoters (SORLIPs) in Arabidopsis</w:t>
            </w:r>
          </w:p>
        </w:tc>
      </w:tr>
      <w:tr w:rsidR="00931FFD" w:rsidRPr="009578A2" w:rsidTr="00F06834">
        <w:trPr>
          <w:trHeight w:val="280"/>
        </w:trPr>
        <w:tc>
          <w:tcPr>
            <w:tcW w:w="1271" w:type="dxa"/>
            <w:tcBorders>
              <w:bottom w:val="single" w:sz="4" w:space="0" w:color="auto"/>
            </w:tcBorders>
            <w:noWrap/>
            <w:hideMark/>
          </w:tcPr>
          <w:p w:rsidR="00931FFD" w:rsidRPr="009578A2" w:rsidRDefault="00931FFD" w:rsidP="00F0683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GTAC</w:t>
            </w:r>
          </w:p>
        </w:tc>
        <w:tc>
          <w:tcPr>
            <w:tcW w:w="7025" w:type="dxa"/>
            <w:tcBorders>
              <w:bottom w:val="single" w:sz="4" w:space="0" w:color="auto"/>
            </w:tcBorders>
            <w:noWrap/>
            <w:hideMark/>
          </w:tcPr>
          <w:p w:rsidR="00931FFD" w:rsidRPr="009578A2" w:rsidRDefault="00931FFD" w:rsidP="00F0683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78A2">
              <w:rPr>
                <w:rFonts w:ascii="Times New Roman" w:hAnsi="Times New Roman" w:cs="Times New Roman"/>
                <w:sz w:val="20"/>
                <w:szCs w:val="20"/>
              </w:rPr>
              <w:t>Core copper-responsive element</w:t>
            </w:r>
          </w:p>
        </w:tc>
      </w:tr>
    </w:tbl>
    <w:p w:rsidR="00931FFD" w:rsidRPr="009578A2" w:rsidRDefault="00931FFD">
      <w:pPr>
        <w:rPr>
          <w:rFonts w:ascii="Times New Roman" w:hAnsi="Times New Roman" w:cs="Times New Roman"/>
          <w:sz w:val="20"/>
          <w:szCs w:val="20"/>
        </w:rPr>
      </w:pPr>
    </w:p>
    <w:p w:rsidR="00F06834" w:rsidRPr="009578A2" w:rsidRDefault="00F06834">
      <w:pPr>
        <w:rPr>
          <w:rFonts w:ascii="Times New Roman" w:hAnsi="Times New Roman" w:cs="Times New Roman"/>
          <w:sz w:val="20"/>
          <w:szCs w:val="20"/>
        </w:rPr>
      </w:pPr>
    </w:p>
    <w:sectPr w:rsidR="00F06834" w:rsidRPr="009578A2" w:rsidSect="00FD48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0077" w:rsidRDefault="00230077" w:rsidP="00746037">
      <w:r>
        <w:separator/>
      </w:r>
    </w:p>
  </w:endnote>
  <w:endnote w:type="continuationSeparator" w:id="0">
    <w:p w:rsidR="00230077" w:rsidRDefault="00230077" w:rsidP="00746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65563536"/>
      <w:docPartObj>
        <w:docPartGallery w:val="Page Numbers (Bottom of Page)"/>
        <w:docPartUnique/>
      </w:docPartObj>
    </w:sdtPr>
    <w:sdtEndPr/>
    <w:sdtContent>
      <w:p w:rsidR="00C615B8" w:rsidRDefault="00C615B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78A2" w:rsidRPr="009578A2">
          <w:rPr>
            <w:noProof/>
            <w:lang w:val="zh-CN"/>
          </w:rPr>
          <w:t>4</w:t>
        </w:r>
        <w:r>
          <w:fldChar w:fldCharType="end"/>
        </w:r>
      </w:p>
    </w:sdtContent>
  </w:sdt>
  <w:p w:rsidR="00C615B8" w:rsidRDefault="00C615B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0077" w:rsidRDefault="00230077" w:rsidP="00746037">
      <w:r>
        <w:separator/>
      </w:r>
    </w:p>
  </w:footnote>
  <w:footnote w:type="continuationSeparator" w:id="0">
    <w:p w:rsidR="00230077" w:rsidRDefault="00230077" w:rsidP="007460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9B4"/>
    <w:rsid w:val="0017082C"/>
    <w:rsid w:val="00230077"/>
    <w:rsid w:val="0038720B"/>
    <w:rsid w:val="00517116"/>
    <w:rsid w:val="005D241C"/>
    <w:rsid w:val="00643539"/>
    <w:rsid w:val="007401D0"/>
    <w:rsid w:val="00746037"/>
    <w:rsid w:val="007B64E0"/>
    <w:rsid w:val="00931FFD"/>
    <w:rsid w:val="00937FB9"/>
    <w:rsid w:val="009578A2"/>
    <w:rsid w:val="00C050AE"/>
    <w:rsid w:val="00C615B8"/>
    <w:rsid w:val="00CA63D7"/>
    <w:rsid w:val="00CE69B4"/>
    <w:rsid w:val="00E1187A"/>
    <w:rsid w:val="00EF4346"/>
    <w:rsid w:val="00F06834"/>
    <w:rsid w:val="00FD4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02223F-530F-4300-86D3-E96468DB1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6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60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60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6037"/>
    <w:rPr>
      <w:sz w:val="18"/>
      <w:szCs w:val="18"/>
    </w:rPr>
  </w:style>
  <w:style w:type="table" w:styleId="a5">
    <w:name w:val="Table Grid"/>
    <w:basedOn w:val="a1"/>
    <w:uiPriority w:val="39"/>
    <w:rsid w:val="007460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4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525</Words>
  <Characters>2996</Characters>
  <Application>Microsoft Office Word</Application>
  <DocSecurity>0</DocSecurity>
  <Lines>24</Lines>
  <Paragraphs>7</Paragraphs>
  <ScaleCrop>false</ScaleCrop>
  <Company/>
  <LinksUpToDate>false</LinksUpToDate>
  <CharactersWithSpaces>3514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821979318@qq.com</dc:creator>
  <cp:keywords/>
  <dc:description/>
  <cp:lastModifiedBy>821979318@qq.com</cp:lastModifiedBy>
  <cp:revision>12</cp:revision>
  <dcterms:created xsi:type="dcterms:W3CDTF">2022-01-30T10:48:00Z</dcterms:created>
  <dcterms:modified xsi:type="dcterms:W3CDTF">2022-02-12T08:54:00Z</dcterms:modified>
</cp:coreProperties>
</file>