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9F0C6E" w14:textId="1123317F" w:rsidR="00403F36" w:rsidRDefault="005F1636">
      <w:r w:rsidRPr="00590B77">
        <w:rPr>
          <w:rFonts w:cstheme="minorHAnsi"/>
          <w:noProof/>
          <w:lang w:eastAsia="en-GB"/>
        </w:rPr>
        <w:drawing>
          <wp:inline distT="0" distB="0" distL="0" distR="0" wp14:anchorId="07206F17" wp14:editId="1022F4DE">
            <wp:extent cx="5731510" cy="4419023"/>
            <wp:effectExtent l="0" t="0" r="2540" b="635"/>
            <wp:docPr id="5" name="Chart 5">
              <a:extLst xmlns:a="http://schemas.openxmlformats.org/drawingml/2006/main">
                <a:ext uri="{FF2B5EF4-FFF2-40B4-BE49-F238E27FC236}">
                  <a16:creationId xmlns:a16="http://schemas.microsoft.com/office/drawing/2014/main" id="{0092180B-65F5-47D4-958A-26309998C67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0E2E9C79" w14:textId="11429802" w:rsidR="005F1636" w:rsidRDefault="003563E7">
      <w:r w:rsidRPr="003563E7">
        <w:rPr>
          <w:b/>
          <w:bCs/>
        </w:rPr>
        <w:t xml:space="preserve">Figure </w:t>
      </w:r>
      <w:r w:rsidR="00903656">
        <w:rPr>
          <w:b/>
          <w:bCs/>
        </w:rPr>
        <w:t>A</w:t>
      </w:r>
      <w:r w:rsidRPr="003563E7">
        <w:rPr>
          <w:b/>
          <w:bCs/>
        </w:rPr>
        <w:t>3</w:t>
      </w:r>
      <w:r w:rsidRPr="003563E7">
        <w:t xml:space="preserve"> Mean (SE) ratings for convincing for dual users, smokers, non-smokers and the overall sample</w:t>
      </w:r>
    </w:p>
    <w:sectPr w:rsidR="005F1636" w:rsidSect="00F04FB5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636"/>
    <w:rsid w:val="003563E7"/>
    <w:rsid w:val="00403F36"/>
    <w:rsid w:val="005F1636"/>
    <w:rsid w:val="00690003"/>
    <w:rsid w:val="00903656"/>
    <w:rsid w:val="00F04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B44306"/>
  <w15:chartTrackingRefBased/>
  <w15:docId w15:val="{76C1470D-883A-4BCC-B1FC-7CC975BD0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https://stulsbuac-my.sharepoint.com/personal/kimberc3_lsbu_ac_uk/Documents/TPD%20vs%20COMP%20CRUK%20project/Pilot%20study%20data_Development%20&amp;%20Validation%20of%20messages/Pilot%20study%20graph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9.5810179167444526E-2"/>
          <c:y val="2.611275476291413E-2"/>
          <c:w val="0.9041898208325555"/>
          <c:h val="0.8875297722430479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Convincingness!$B$1</c:f>
              <c:strCache>
                <c:ptCount val="1"/>
                <c:pt idx="0">
                  <c:v>Dual users</c:v>
                </c:pt>
              </c:strCache>
            </c:strRef>
          </c:tx>
          <c:spPr>
            <a:pattFill prst="wdDnDiag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Convincingness!$B$13:$B$22</c:f>
                <c:numCache>
                  <c:formatCode>General</c:formatCode>
                  <c:ptCount val="10"/>
                  <c:pt idx="0">
                    <c:v>0.22</c:v>
                  </c:pt>
                  <c:pt idx="1">
                    <c:v>0.26</c:v>
                  </c:pt>
                  <c:pt idx="2">
                    <c:v>0.22</c:v>
                  </c:pt>
                  <c:pt idx="3">
                    <c:v>0.28999999999999998</c:v>
                  </c:pt>
                  <c:pt idx="4">
                    <c:v>0.22</c:v>
                  </c:pt>
                  <c:pt idx="5">
                    <c:v>0.32</c:v>
                  </c:pt>
                  <c:pt idx="6">
                    <c:v>0.24</c:v>
                  </c:pt>
                  <c:pt idx="7">
                    <c:v>0.22</c:v>
                  </c:pt>
                  <c:pt idx="8">
                    <c:v>0.26</c:v>
                  </c:pt>
                  <c:pt idx="9">
                    <c:v>0.22</c:v>
                  </c:pt>
                </c:numCache>
              </c:numRef>
            </c:plus>
            <c:minus>
              <c:numRef>
                <c:f>Convincingness!$B$13:$B$22</c:f>
                <c:numCache>
                  <c:formatCode>General</c:formatCode>
                  <c:ptCount val="10"/>
                  <c:pt idx="0">
                    <c:v>0.22</c:v>
                  </c:pt>
                  <c:pt idx="1">
                    <c:v>0.26</c:v>
                  </c:pt>
                  <c:pt idx="2">
                    <c:v>0.22</c:v>
                  </c:pt>
                  <c:pt idx="3">
                    <c:v>0.28999999999999998</c:v>
                  </c:pt>
                  <c:pt idx="4">
                    <c:v>0.22</c:v>
                  </c:pt>
                  <c:pt idx="5">
                    <c:v>0.32</c:v>
                  </c:pt>
                  <c:pt idx="6">
                    <c:v>0.24</c:v>
                  </c:pt>
                  <c:pt idx="7">
                    <c:v>0.22</c:v>
                  </c:pt>
                  <c:pt idx="8">
                    <c:v>0.26</c:v>
                  </c:pt>
                  <c:pt idx="9">
                    <c:v>0.22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Convincingness!$A$2:$A$11</c:f>
              <c:strCache>
                <c:ptCount val="10"/>
                <c:pt idx="0">
                  <c:v>TPD1</c:v>
                </c:pt>
                <c:pt idx="1">
                  <c:v>TPD2</c:v>
                </c:pt>
                <c:pt idx="2">
                  <c:v>RRM5</c:v>
                </c:pt>
                <c:pt idx="3">
                  <c:v>RRM7</c:v>
                </c:pt>
                <c:pt idx="4">
                  <c:v>RRM8</c:v>
                </c:pt>
                <c:pt idx="5">
                  <c:v>RRM9</c:v>
                </c:pt>
                <c:pt idx="6">
                  <c:v>RRM11</c:v>
                </c:pt>
                <c:pt idx="7">
                  <c:v>RRM12</c:v>
                </c:pt>
                <c:pt idx="8">
                  <c:v>RRM20</c:v>
                </c:pt>
                <c:pt idx="9">
                  <c:v>RRM25</c:v>
                </c:pt>
              </c:strCache>
            </c:strRef>
          </c:cat>
          <c:val>
            <c:numRef>
              <c:f>Convincingness!$B$2:$B$11</c:f>
              <c:numCache>
                <c:formatCode>General</c:formatCode>
                <c:ptCount val="10"/>
                <c:pt idx="0">
                  <c:v>5</c:v>
                </c:pt>
                <c:pt idx="1">
                  <c:v>5.55</c:v>
                </c:pt>
                <c:pt idx="2">
                  <c:v>5.21</c:v>
                </c:pt>
                <c:pt idx="3">
                  <c:v>5.26</c:v>
                </c:pt>
                <c:pt idx="4">
                  <c:v>5.12</c:v>
                </c:pt>
                <c:pt idx="5">
                  <c:v>4.63</c:v>
                </c:pt>
                <c:pt idx="6">
                  <c:v>4.6900000000000004</c:v>
                </c:pt>
                <c:pt idx="7">
                  <c:v>4.8499999999999996</c:v>
                </c:pt>
                <c:pt idx="8">
                  <c:v>5.17</c:v>
                </c:pt>
                <c:pt idx="9">
                  <c:v>5.29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9AE-4678-91E4-4A5198EE45D6}"/>
            </c:ext>
          </c:extLst>
        </c:ser>
        <c:ser>
          <c:idx val="1"/>
          <c:order val="1"/>
          <c:tx>
            <c:strRef>
              <c:f>Convincingness!$C$1</c:f>
              <c:strCache>
                <c:ptCount val="1"/>
                <c:pt idx="0">
                  <c:v>Smokers </c:v>
                </c:pt>
              </c:strCache>
            </c:strRef>
          </c:tx>
          <c:spPr>
            <a:pattFill prst="lgCheck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Convincingness!$C$13:$C$22</c:f>
                <c:numCache>
                  <c:formatCode>General</c:formatCode>
                  <c:ptCount val="10"/>
                  <c:pt idx="0">
                    <c:v>0.26</c:v>
                  </c:pt>
                  <c:pt idx="1">
                    <c:v>0.26</c:v>
                  </c:pt>
                  <c:pt idx="2">
                    <c:v>0.24</c:v>
                  </c:pt>
                  <c:pt idx="3">
                    <c:v>0.23</c:v>
                  </c:pt>
                  <c:pt idx="4">
                    <c:v>0.27</c:v>
                  </c:pt>
                  <c:pt idx="5">
                    <c:v>0.23</c:v>
                  </c:pt>
                  <c:pt idx="6">
                    <c:v>0.25</c:v>
                  </c:pt>
                  <c:pt idx="7">
                    <c:v>0.26</c:v>
                  </c:pt>
                  <c:pt idx="8">
                    <c:v>0.25</c:v>
                  </c:pt>
                  <c:pt idx="9">
                    <c:v>0.26</c:v>
                  </c:pt>
                </c:numCache>
              </c:numRef>
            </c:plus>
            <c:minus>
              <c:numRef>
                <c:f>Convincingness!$C$13:$C$22</c:f>
                <c:numCache>
                  <c:formatCode>General</c:formatCode>
                  <c:ptCount val="10"/>
                  <c:pt idx="0">
                    <c:v>0.26</c:v>
                  </c:pt>
                  <c:pt idx="1">
                    <c:v>0.26</c:v>
                  </c:pt>
                  <c:pt idx="2">
                    <c:v>0.24</c:v>
                  </c:pt>
                  <c:pt idx="3">
                    <c:v>0.23</c:v>
                  </c:pt>
                  <c:pt idx="4">
                    <c:v>0.27</c:v>
                  </c:pt>
                  <c:pt idx="5">
                    <c:v>0.23</c:v>
                  </c:pt>
                  <c:pt idx="6">
                    <c:v>0.25</c:v>
                  </c:pt>
                  <c:pt idx="7">
                    <c:v>0.26</c:v>
                  </c:pt>
                  <c:pt idx="8">
                    <c:v>0.25</c:v>
                  </c:pt>
                  <c:pt idx="9">
                    <c:v>0.26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Convincingness!$A$2:$A$11</c:f>
              <c:strCache>
                <c:ptCount val="10"/>
                <c:pt idx="0">
                  <c:v>TPD1</c:v>
                </c:pt>
                <c:pt idx="1">
                  <c:v>TPD2</c:v>
                </c:pt>
                <c:pt idx="2">
                  <c:v>RRM5</c:v>
                </c:pt>
                <c:pt idx="3">
                  <c:v>RRM7</c:v>
                </c:pt>
                <c:pt idx="4">
                  <c:v>RRM8</c:v>
                </c:pt>
                <c:pt idx="5">
                  <c:v>RRM9</c:v>
                </c:pt>
                <c:pt idx="6">
                  <c:v>RRM11</c:v>
                </c:pt>
                <c:pt idx="7">
                  <c:v>RRM12</c:v>
                </c:pt>
                <c:pt idx="8">
                  <c:v>RRM20</c:v>
                </c:pt>
                <c:pt idx="9">
                  <c:v>RRM25</c:v>
                </c:pt>
              </c:strCache>
            </c:strRef>
          </c:cat>
          <c:val>
            <c:numRef>
              <c:f>Convincingness!$C$2:$C$11</c:f>
              <c:numCache>
                <c:formatCode>General</c:formatCode>
                <c:ptCount val="10"/>
                <c:pt idx="0">
                  <c:v>5.6</c:v>
                </c:pt>
                <c:pt idx="1">
                  <c:v>5.07</c:v>
                </c:pt>
                <c:pt idx="2">
                  <c:v>4.6900000000000004</c:v>
                </c:pt>
                <c:pt idx="3">
                  <c:v>5.0599999999999996</c:v>
                </c:pt>
                <c:pt idx="4">
                  <c:v>4.59</c:v>
                </c:pt>
                <c:pt idx="5">
                  <c:v>4.87</c:v>
                </c:pt>
                <c:pt idx="6">
                  <c:v>4.38</c:v>
                </c:pt>
                <c:pt idx="7">
                  <c:v>4.6399999999999997</c:v>
                </c:pt>
                <c:pt idx="8">
                  <c:v>4.6500000000000004</c:v>
                </c:pt>
                <c:pt idx="9">
                  <c:v>4.57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9AE-4678-91E4-4A5198EE45D6}"/>
            </c:ext>
          </c:extLst>
        </c:ser>
        <c:ser>
          <c:idx val="2"/>
          <c:order val="2"/>
          <c:tx>
            <c:strRef>
              <c:f>Convincingness!$D$1</c:f>
              <c:strCache>
                <c:ptCount val="1"/>
                <c:pt idx="0">
                  <c:v>Non-smokers/non-vapers </c:v>
                </c:pt>
              </c:strCache>
            </c:strRef>
          </c:tx>
          <c:spPr>
            <a:pattFill prst="pct25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Convincingness!$D$13:$D$22</c:f>
                <c:numCache>
                  <c:formatCode>General</c:formatCode>
                  <c:ptCount val="10"/>
                  <c:pt idx="0">
                    <c:v>0.25</c:v>
                  </c:pt>
                  <c:pt idx="1">
                    <c:v>0.28000000000000003</c:v>
                  </c:pt>
                  <c:pt idx="2">
                    <c:v>0.23</c:v>
                  </c:pt>
                  <c:pt idx="3">
                    <c:v>0.27</c:v>
                  </c:pt>
                  <c:pt idx="4">
                    <c:v>0.25</c:v>
                  </c:pt>
                  <c:pt idx="5">
                    <c:v>0.26</c:v>
                  </c:pt>
                  <c:pt idx="6">
                    <c:v>0.25</c:v>
                  </c:pt>
                  <c:pt idx="7">
                    <c:v>0.21</c:v>
                  </c:pt>
                  <c:pt idx="8">
                    <c:v>0.24</c:v>
                  </c:pt>
                  <c:pt idx="9">
                    <c:v>0.24</c:v>
                  </c:pt>
                </c:numCache>
              </c:numRef>
            </c:plus>
            <c:minus>
              <c:numRef>
                <c:f>Convincingness!$D$13:$D$22</c:f>
                <c:numCache>
                  <c:formatCode>General</c:formatCode>
                  <c:ptCount val="10"/>
                  <c:pt idx="0">
                    <c:v>0.25</c:v>
                  </c:pt>
                  <c:pt idx="1">
                    <c:v>0.28000000000000003</c:v>
                  </c:pt>
                  <c:pt idx="2">
                    <c:v>0.23</c:v>
                  </c:pt>
                  <c:pt idx="3">
                    <c:v>0.27</c:v>
                  </c:pt>
                  <c:pt idx="4">
                    <c:v>0.25</c:v>
                  </c:pt>
                  <c:pt idx="5">
                    <c:v>0.26</c:v>
                  </c:pt>
                  <c:pt idx="6">
                    <c:v>0.25</c:v>
                  </c:pt>
                  <c:pt idx="7">
                    <c:v>0.21</c:v>
                  </c:pt>
                  <c:pt idx="8">
                    <c:v>0.24</c:v>
                  </c:pt>
                  <c:pt idx="9">
                    <c:v>0.24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Convincingness!$A$2:$A$11</c:f>
              <c:strCache>
                <c:ptCount val="10"/>
                <c:pt idx="0">
                  <c:v>TPD1</c:v>
                </c:pt>
                <c:pt idx="1">
                  <c:v>TPD2</c:v>
                </c:pt>
                <c:pt idx="2">
                  <c:v>RRM5</c:v>
                </c:pt>
                <c:pt idx="3">
                  <c:v>RRM7</c:v>
                </c:pt>
                <c:pt idx="4">
                  <c:v>RRM8</c:v>
                </c:pt>
                <c:pt idx="5">
                  <c:v>RRM9</c:v>
                </c:pt>
                <c:pt idx="6">
                  <c:v>RRM11</c:v>
                </c:pt>
                <c:pt idx="7">
                  <c:v>RRM12</c:v>
                </c:pt>
                <c:pt idx="8">
                  <c:v>RRM20</c:v>
                </c:pt>
                <c:pt idx="9">
                  <c:v>RRM25</c:v>
                </c:pt>
              </c:strCache>
            </c:strRef>
          </c:cat>
          <c:val>
            <c:numRef>
              <c:f>Convincingness!$D$2:$D$11</c:f>
              <c:numCache>
                <c:formatCode>General</c:formatCode>
                <c:ptCount val="10"/>
                <c:pt idx="0">
                  <c:v>6.16</c:v>
                </c:pt>
                <c:pt idx="1">
                  <c:v>5.4</c:v>
                </c:pt>
                <c:pt idx="2">
                  <c:v>3.78</c:v>
                </c:pt>
                <c:pt idx="3">
                  <c:v>4.93</c:v>
                </c:pt>
                <c:pt idx="4">
                  <c:v>4.84</c:v>
                </c:pt>
                <c:pt idx="5">
                  <c:v>4.87</c:v>
                </c:pt>
                <c:pt idx="6">
                  <c:v>4.6500000000000004</c:v>
                </c:pt>
                <c:pt idx="7">
                  <c:v>4.5599999999999996</c:v>
                </c:pt>
                <c:pt idx="8">
                  <c:v>4.7699999999999996</c:v>
                </c:pt>
                <c:pt idx="9">
                  <c:v>4.2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9AE-4678-91E4-4A5198EE45D6}"/>
            </c:ext>
          </c:extLst>
        </c:ser>
        <c:ser>
          <c:idx val="3"/>
          <c:order val="3"/>
          <c:tx>
            <c:strRef>
              <c:f>Convincingness!$E$1</c:f>
              <c:strCache>
                <c:ptCount val="1"/>
                <c:pt idx="0">
                  <c:v>Overall sample</c:v>
                </c:pt>
              </c:strCache>
            </c:strRef>
          </c:tx>
          <c:spPr>
            <a:pattFill prst="pct80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Convincingness!$E$13:$E$22</c:f>
                <c:numCache>
                  <c:formatCode>General</c:formatCode>
                  <c:ptCount val="10"/>
                  <c:pt idx="0">
                    <c:v>0.14000000000000001</c:v>
                  </c:pt>
                  <c:pt idx="1">
                    <c:v>0.16</c:v>
                  </c:pt>
                  <c:pt idx="2">
                    <c:v>0.13</c:v>
                  </c:pt>
                  <c:pt idx="3">
                    <c:v>0.14000000000000001</c:v>
                  </c:pt>
                  <c:pt idx="4">
                    <c:v>0.14000000000000001</c:v>
                  </c:pt>
                  <c:pt idx="5">
                    <c:v>0.15</c:v>
                  </c:pt>
                  <c:pt idx="6">
                    <c:v>0.15</c:v>
                  </c:pt>
                  <c:pt idx="7">
                    <c:v>0.15</c:v>
                  </c:pt>
                  <c:pt idx="8">
                    <c:v>0.13</c:v>
                  </c:pt>
                  <c:pt idx="9">
                    <c:v>0.15</c:v>
                  </c:pt>
                </c:numCache>
              </c:numRef>
            </c:plus>
            <c:minus>
              <c:numRef>
                <c:f>Convincingness!$E$13:$E$22</c:f>
                <c:numCache>
                  <c:formatCode>General</c:formatCode>
                  <c:ptCount val="10"/>
                  <c:pt idx="0">
                    <c:v>0.14000000000000001</c:v>
                  </c:pt>
                  <c:pt idx="1">
                    <c:v>0.16</c:v>
                  </c:pt>
                  <c:pt idx="2">
                    <c:v>0.13</c:v>
                  </c:pt>
                  <c:pt idx="3">
                    <c:v>0.14000000000000001</c:v>
                  </c:pt>
                  <c:pt idx="4">
                    <c:v>0.14000000000000001</c:v>
                  </c:pt>
                  <c:pt idx="5">
                    <c:v>0.15</c:v>
                  </c:pt>
                  <c:pt idx="6">
                    <c:v>0.15</c:v>
                  </c:pt>
                  <c:pt idx="7">
                    <c:v>0.15</c:v>
                  </c:pt>
                  <c:pt idx="8">
                    <c:v>0.13</c:v>
                  </c:pt>
                  <c:pt idx="9">
                    <c:v>0.15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Convincingness!$A$2:$A$11</c:f>
              <c:strCache>
                <c:ptCount val="10"/>
                <c:pt idx="0">
                  <c:v>TPD1</c:v>
                </c:pt>
                <c:pt idx="1">
                  <c:v>TPD2</c:v>
                </c:pt>
                <c:pt idx="2">
                  <c:v>RRM5</c:v>
                </c:pt>
                <c:pt idx="3">
                  <c:v>RRM7</c:v>
                </c:pt>
                <c:pt idx="4">
                  <c:v>RRM8</c:v>
                </c:pt>
                <c:pt idx="5">
                  <c:v>RRM9</c:v>
                </c:pt>
                <c:pt idx="6">
                  <c:v>RRM11</c:v>
                </c:pt>
                <c:pt idx="7">
                  <c:v>RRM12</c:v>
                </c:pt>
                <c:pt idx="8">
                  <c:v>RRM20</c:v>
                </c:pt>
                <c:pt idx="9">
                  <c:v>RRM25</c:v>
                </c:pt>
              </c:strCache>
            </c:strRef>
          </c:cat>
          <c:val>
            <c:numRef>
              <c:f>Convincingness!$E$2:$E$11</c:f>
              <c:numCache>
                <c:formatCode>General</c:formatCode>
                <c:ptCount val="10"/>
                <c:pt idx="0">
                  <c:v>5.52</c:v>
                </c:pt>
                <c:pt idx="1">
                  <c:v>5.33</c:v>
                </c:pt>
                <c:pt idx="2">
                  <c:v>4.57</c:v>
                </c:pt>
                <c:pt idx="3">
                  <c:v>5.07</c:v>
                </c:pt>
                <c:pt idx="4">
                  <c:v>4.8899999999999997</c:v>
                </c:pt>
                <c:pt idx="5">
                  <c:v>4.8099999999999996</c:v>
                </c:pt>
                <c:pt idx="6">
                  <c:v>4.57</c:v>
                </c:pt>
                <c:pt idx="7">
                  <c:v>4.68</c:v>
                </c:pt>
                <c:pt idx="8">
                  <c:v>4.8499999999999996</c:v>
                </c:pt>
                <c:pt idx="9">
                  <c:v>4.7300000000000004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99AE-4678-91E4-4A5198EE45D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804413888"/>
        <c:axId val="1484739920"/>
      </c:barChart>
      <c:catAx>
        <c:axId val="180441388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Message type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84739920"/>
        <c:crosses val="autoZero"/>
        <c:auto val="1"/>
        <c:lblAlgn val="ctr"/>
        <c:lblOffset val="100"/>
        <c:noMultiLvlLbl val="0"/>
      </c:catAx>
      <c:valAx>
        <c:axId val="1484739920"/>
        <c:scaling>
          <c:orientation val="minMax"/>
          <c:max val="6.5"/>
          <c:min val="3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Mean [SE] ratings on convincingness </a:t>
                </a:r>
              </a:p>
            </c:rich>
          </c:tx>
          <c:layout>
            <c:manualLayout>
              <c:xMode val="edge"/>
              <c:yMode val="edge"/>
              <c:x val="1.3650329494321741E-2"/>
              <c:y val="0.198059952952784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0441388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8806997972040976"/>
          <c:y val="4.3090831594768654E-2"/>
          <c:w val="0.68745130087734085"/>
          <c:h val="4.807725957332256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Kimber, Catherine 3</dc:creator>
  <cp:keywords/>
  <dc:description/>
  <cp:lastModifiedBy>Kimber, Catherine 3</cp:lastModifiedBy>
  <cp:revision>6</cp:revision>
  <cp:lastPrinted>2020-12-14T17:51:00Z</cp:lastPrinted>
  <dcterms:created xsi:type="dcterms:W3CDTF">2020-12-14T17:50:00Z</dcterms:created>
  <dcterms:modified xsi:type="dcterms:W3CDTF">2020-12-16T11:37:00Z</dcterms:modified>
</cp:coreProperties>
</file>