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C0A7B" w14:textId="5FAF95EC" w:rsidR="00F23A00" w:rsidRPr="00634B44" w:rsidRDefault="00F23A00" w:rsidP="00F23A00">
      <w:pPr>
        <w:pStyle w:val="Caption"/>
        <w:keepNext/>
        <w:spacing w:after="0"/>
        <w:rPr>
          <w:rFonts w:cs="Times New Roman"/>
          <w:i w:val="0"/>
          <w:color w:val="000000" w:themeColor="text1"/>
          <w:sz w:val="24"/>
          <w:szCs w:val="24"/>
          <w:lang w:val="en-US"/>
        </w:rPr>
      </w:pPr>
    </w:p>
    <w:p w14:paraId="0E2C5802" w14:textId="43F1D982" w:rsidR="00F23A00" w:rsidRPr="00EC5868" w:rsidRDefault="00F23A00" w:rsidP="00EC5868">
      <w:pPr>
        <w:pStyle w:val="Caption"/>
        <w:rPr>
          <w:b/>
          <w:bCs/>
          <w:i w:val="0"/>
          <w:iCs w:val="0"/>
          <w:color w:val="auto"/>
          <w:sz w:val="24"/>
        </w:rPr>
      </w:pPr>
      <w:r w:rsidRPr="00EC5868">
        <w:rPr>
          <w:b/>
          <w:bCs/>
          <w:i w:val="0"/>
          <w:iCs w:val="0"/>
          <w:color w:val="auto"/>
          <w:sz w:val="24"/>
        </w:rPr>
        <w:t xml:space="preserve">Supplementary Table </w:t>
      </w:r>
      <w:r w:rsidRPr="00EC5868">
        <w:rPr>
          <w:b/>
          <w:bCs/>
          <w:i w:val="0"/>
          <w:iCs w:val="0"/>
          <w:color w:val="auto"/>
          <w:sz w:val="24"/>
        </w:rPr>
        <w:fldChar w:fldCharType="begin"/>
      </w:r>
      <w:r w:rsidRPr="00EC5868">
        <w:rPr>
          <w:b/>
          <w:bCs/>
          <w:i w:val="0"/>
          <w:iCs w:val="0"/>
          <w:color w:val="auto"/>
          <w:sz w:val="24"/>
        </w:rPr>
        <w:instrText xml:space="preserve"> SEQ Supplementary_Table \* ARABIC </w:instrText>
      </w:r>
      <w:r w:rsidRPr="00EC5868">
        <w:rPr>
          <w:b/>
          <w:bCs/>
          <w:i w:val="0"/>
          <w:iCs w:val="0"/>
          <w:color w:val="auto"/>
          <w:sz w:val="24"/>
        </w:rPr>
        <w:fldChar w:fldCharType="separate"/>
      </w:r>
      <w:r w:rsidRPr="00EC5868">
        <w:rPr>
          <w:b/>
          <w:bCs/>
          <w:i w:val="0"/>
          <w:iCs w:val="0"/>
          <w:color w:val="auto"/>
          <w:sz w:val="24"/>
        </w:rPr>
        <w:t>2</w:t>
      </w:r>
      <w:r w:rsidRPr="00EC5868">
        <w:rPr>
          <w:b/>
          <w:bCs/>
          <w:i w:val="0"/>
          <w:iCs w:val="0"/>
          <w:color w:val="auto"/>
          <w:sz w:val="24"/>
        </w:rPr>
        <w:fldChar w:fldCharType="end"/>
      </w:r>
      <w:r w:rsidRPr="00EC5868">
        <w:rPr>
          <w:b/>
          <w:bCs/>
          <w:i w:val="0"/>
          <w:iCs w:val="0"/>
          <w:color w:val="auto"/>
          <w:sz w:val="24"/>
        </w:rPr>
        <w:t>: The potential risk of pesticides and nutrients to aquatic life, relative to the accepted concentrations in the water quality standard</w:t>
      </w:r>
    </w:p>
    <w:tbl>
      <w:tblPr>
        <w:tblW w:w="5430" w:type="pct"/>
        <w:tblInd w:w="-776" w:type="dxa"/>
        <w:tblLayout w:type="fixed"/>
        <w:tblLook w:val="04A0" w:firstRow="1" w:lastRow="0" w:firstColumn="1" w:lastColumn="0" w:noHBand="0" w:noVBand="1"/>
      </w:tblPr>
      <w:tblGrid>
        <w:gridCol w:w="980"/>
        <w:gridCol w:w="1738"/>
        <w:gridCol w:w="2010"/>
        <w:gridCol w:w="1707"/>
        <w:gridCol w:w="1646"/>
        <w:gridCol w:w="1607"/>
        <w:gridCol w:w="1128"/>
        <w:gridCol w:w="1128"/>
        <w:gridCol w:w="1398"/>
        <w:gridCol w:w="1816"/>
      </w:tblGrid>
      <w:tr w:rsidR="00F23A00" w:rsidRPr="00634B44" w14:paraId="48105086" w14:textId="77777777" w:rsidTr="00517B67">
        <w:trPr>
          <w:trHeight w:val="157"/>
        </w:trPr>
        <w:tc>
          <w:tcPr>
            <w:tcW w:w="323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FAB008D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Site</w:t>
            </w:r>
          </w:p>
        </w:tc>
        <w:tc>
          <w:tcPr>
            <w:tcW w:w="2872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410255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single" w:sz="4" w:space="0" w:color="auto"/>
              <w:left w:val="nil"/>
              <w:right w:val="nil"/>
            </w:tcBorders>
          </w:tcPr>
          <w:p w14:paraId="6F0339F0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single" w:sz="4" w:space="0" w:color="auto"/>
              <w:left w:val="nil"/>
              <w:right w:val="nil"/>
            </w:tcBorders>
          </w:tcPr>
          <w:p w14:paraId="69D29BD4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1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4FB106BB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Risk ratio calculation</w:t>
            </w:r>
          </w:p>
        </w:tc>
        <w:tc>
          <w:tcPr>
            <w:tcW w:w="599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55C114B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Risk category</w:t>
            </w:r>
          </w:p>
        </w:tc>
      </w:tr>
      <w:tr w:rsidR="00F23A00" w:rsidRPr="00634B44" w14:paraId="6D992732" w14:textId="77777777" w:rsidTr="00517B67">
        <w:trPr>
          <w:trHeight w:val="373"/>
        </w:trPr>
        <w:tc>
          <w:tcPr>
            <w:tcW w:w="323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EDFC32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F0EA00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  <w:lang w:val="en-US"/>
              </w:rPr>
              <w:t>∑</w:t>
            </w: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DDT (USEPA)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4DC1B1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  <w:lang w:val="en-US"/>
              </w:rPr>
              <w:t>∑</w:t>
            </w: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HCH (USEPA)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0C65E9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  <w:lang w:val="en-US"/>
              </w:rPr>
              <w:t>∑</w:t>
            </w: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Cyclodienes (USEPA)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AE87D7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TN (USEPA)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9E2809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TP (USEPA)</w:t>
            </w:r>
          </w:p>
        </w:tc>
        <w:tc>
          <w:tcPr>
            <w:tcW w:w="37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72AE73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TN (Kenya)</w:t>
            </w:r>
          </w:p>
        </w:tc>
        <w:tc>
          <w:tcPr>
            <w:tcW w:w="37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9B28B4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TP (Kenya)</w:t>
            </w:r>
          </w:p>
        </w:tc>
        <w:tc>
          <w:tcPr>
            <w:tcW w:w="461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A753A56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4BD0E1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</w:tr>
      <w:tr w:rsidR="00F23A00" w:rsidRPr="00634B44" w14:paraId="20B65265" w14:textId="77777777" w:rsidTr="00517B67">
        <w:trPr>
          <w:trHeight w:val="149"/>
        </w:trPr>
        <w:tc>
          <w:tcPr>
            <w:tcW w:w="3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8192E4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K1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ECF3B2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62.8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4DB65B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9677E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63.9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453F1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2.55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5387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23.10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3040712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1.275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C900F3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11.55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46402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4.53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D6EF4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Very high risk</w:t>
            </w:r>
          </w:p>
        </w:tc>
      </w:tr>
      <w:tr w:rsidR="00F23A00" w:rsidRPr="00634B44" w14:paraId="41CD3E4C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B8AC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G2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5902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34FE2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66BF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425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787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4738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A90EF4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0.42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AF77C9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0.95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34F5B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4.19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4148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Very high risk</w:t>
            </w:r>
          </w:p>
        </w:tc>
      </w:tr>
      <w:tr w:rsidR="00F23A00" w:rsidRPr="00634B44" w14:paraId="1F720BE2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BCCF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G3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2F40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225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8715C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18E79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346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374B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1.39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66FB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3.64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C8573F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0.695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C7B7DE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1.82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B164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4.53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318FA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Very high risk</w:t>
            </w:r>
          </w:p>
        </w:tc>
      </w:tr>
      <w:tr w:rsidR="00F23A00" w:rsidRPr="00634B44" w14:paraId="20D92458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A781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M1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CE7DC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7E79F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8C9E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247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83250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E149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2.06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65662B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0.52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0D3F64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1.03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828C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4.15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F693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Very high Risk</w:t>
            </w:r>
          </w:p>
        </w:tc>
      </w:tr>
      <w:tr w:rsidR="00F23A00" w:rsidRPr="00634B44" w14:paraId="3D03E86A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40DA0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M2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B7BCE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6F05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4DCD8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935FF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1DDB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4.86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4B0019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0.26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4F98FF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2.43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D474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3.70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4440F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High risk</w:t>
            </w:r>
          </w:p>
        </w:tc>
      </w:tr>
      <w:tr w:rsidR="00F23A00" w:rsidRPr="00634B44" w14:paraId="0E6632E8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F2D0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M3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AFA45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E15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489E5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CE03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1.66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E2F4B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8.87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D920CC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0.83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CBEFB4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4.435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78BB4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4.12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764E3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Very high Risk</w:t>
            </w:r>
          </w:p>
        </w:tc>
      </w:tr>
      <w:tr w:rsidR="00F23A00" w:rsidRPr="00634B44" w14:paraId="08322F77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BAAFA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M4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AF13E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5A8C0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9454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25EC5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A4F9A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6.11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DCD550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0.435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F01609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3.055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A250C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3.78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C05AA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High risk</w:t>
            </w:r>
          </w:p>
        </w:tc>
      </w:tr>
      <w:tr w:rsidR="00F23A00" w:rsidRPr="00634B44" w14:paraId="080B6967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3A081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M5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1382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E7FD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BB1C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397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2181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1.46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C1A8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7.49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BC36AE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0.73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8A7EAF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3.745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AF8BB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4.86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1320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Very high risk</w:t>
            </w:r>
          </w:p>
        </w:tc>
      </w:tr>
      <w:tr w:rsidR="00F23A00" w:rsidRPr="00634B44" w14:paraId="1B819CD0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3F6D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N1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1C7A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6530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2429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441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12F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82795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2.45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134C28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0.35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5D69E1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1.225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C44A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4.61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25EB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Very high risk</w:t>
            </w:r>
          </w:p>
        </w:tc>
      </w:tr>
      <w:tr w:rsidR="00F23A00" w:rsidRPr="00634B44" w14:paraId="5F5D793B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9958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N2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A3E33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026B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9F2E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302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59F8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59C2B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A4D1D8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0.25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133C7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0.38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3686A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3.42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736A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High risk</w:t>
            </w:r>
          </w:p>
        </w:tc>
      </w:tr>
      <w:tr w:rsidR="00F23A00" w:rsidRPr="00634B44" w14:paraId="31933862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0B07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N3</w:t>
            </w: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E8B83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251</w:t>
            </w:r>
          </w:p>
        </w:tc>
        <w:tc>
          <w:tcPr>
            <w:tcW w:w="6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08F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5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C68C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870</w:t>
            </w:r>
          </w:p>
        </w:tc>
        <w:tc>
          <w:tcPr>
            <w:tcW w:w="54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A209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5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8D71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372" w:type="pct"/>
            <w:tcBorders>
              <w:top w:val="nil"/>
              <w:left w:val="nil"/>
              <w:right w:val="nil"/>
            </w:tcBorders>
            <w:shd w:val="clear" w:color="auto" w:fill="auto"/>
          </w:tcPr>
          <w:p w14:paraId="60603A1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0.3</w:t>
            </w:r>
          </w:p>
        </w:tc>
        <w:tc>
          <w:tcPr>
            <w:tcW w:w="372" w:type="pct"/>
            <w:tcBorders>
              <w:top w:val="nil"/>
              <w:left w:val="nil"/>
              <w:right w:val="nil"/>
            </w:tcBorders>
            <w:shd w:val="clear" w:color="auto" w:fill="auto"/>
          </w:tcPr>
          <w:p w14:paraId="66A148B0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0.315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7AF4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4.32</w:t>
            </w:r>
          </w:p>
        </w:tc>
        <w:tc>
          <w:tcPr>
            <w:tcW w:w="5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B583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Very high risk</w:t>
            </w:r>
          </w:p>
        </w:tc>
      </w:tr>
      <w:tr w:rsidR="00F23A00" w:rsidRPr="00634B44" w14:paraId="08A3C4EB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6E09D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N4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3DF25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D46EE0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E588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479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6DBA8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580BE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48C22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0.28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4D36CC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0.355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C07C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3.94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324B2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High risk</w:t>
            </w:r>
          </w:p>
        </w:tc>
      </w:tr>
    </w:tbl>
    <w:p w14:paraId="62B89967" w14:textId="296D2F59" w:rsidR="005A24EE" w:rsidRDefault="00F23A00">
      <w:r w:rsidRPr="00634B44">
        <w:rPr>
          <w:rFonts w:cs="Times New Roman"/>
          <w:sz w:val="24"/>
          <w:szCs w:val="24"/>
        </w:rPr>
        <w:t>* These are ratios between the measured concentrations, and the concentrations based on legally accepted concentrations in aquatic ecosystem health</w:t>
      </w:r>
      <w:r>
        <w:rPr>
          <w:rFonts w:cs="Times New Roman"/>
          <w:szCs w:val="24"/>
        </w:rPr>
        <w:t>.</w:t>
      </w:r>
    </w:p>
    <w:sectPr w:rsidR="005A24EE" w:rsidSect="00F23A0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75D"/>
    <w:rsid w:val="00467C5B"/>
    <w:rsid w:val="00532E6A"/>
    <w:rsid w:val="005A24EE"/>
    <w:rsid w:val="005A275D"/>
    <w:rsid w:val="005C4A58"/>
    <w:rsid w:val="00821C56"/>
    <w:rsid w:val="00875C04"/>
    <w:rsid w:val="00EC5868"/>
    <w:rsid w:val="00F23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9334D"/>
  <w15:chartTrackingRefBased/>
  <w15:docId w15:val="{EE75BDE4-71F7-45F9-A940-C62569B4D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275D"/>
    <w:pPr>
      <w:spacing w:line="240" w:lineRule="auto"/>
      <w:jc w:val="both"/>
    </w:pPr>
    <w:rPr>
      <w:rFonts w:ascii="Times New Roman" w:hAnsi="Times New Roman"/>
      <w:sz w:val="18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5A275D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A275D"/>
    <w:rPr>
      <w:rFonts w:ascii="Times New Roman" w:hAnsi="Times New Roman"/>
      <w:sz w:val="18"/>
      <w:szCs w:val="20"/>
      <w:lang w:val="nl-NL"/>
    </w:rPr>
  </w:style>
  <w:style w:type="character" w:styleId="CommentReference">
    <w:name w:val="annotation reference"/>
    <w:basedOn w:val="DefaultParagraphFont"/>
    <w:uiPriority w:val="99"/>
    <w:semiHidden/>
    <w:unhideWhenUsed/>
    <w:rsid w:val="005A275D"/>
    <w:rPr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5A275D"/>
    <w:pPr>
      <w:spacing w:after="200"/>
    </w:pPr>
    <w:rPr>
      <w:i/>
      <w:iCs/>
      <w:color w:val="44546A" w:themeColor="text2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74E157-63FB-4810-9EC9-705A970E4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O</dc:creator>
  <cp:keywords/>
  <dc:description/>
  <cp:lastModifiedBy>Joe O</cp:lastModifiedBy>
  <cp:revision>2</cp:revision>
  <dcterms:created xsi:type="dcterms:W3CDTF">2022-01-29T03:28:00Z</dcterms:created>
  <dcterms:modified xsi:type="dcterms:W3CDTF">2022-01-29T03:28:00Z</dcterms:modified>
</cp:coreProperties>
</file>