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28B7" w:rsidRDefault="00EB28B7" w:rsidP="00EB28B7">
      <w:pPr>
        <w:spacing w:line="480" w:lineRule="auto"/>
        <w:rPr>
          <w:rFonts w:cs="Times New Roman"/>
          <w:b/>
          <w:bCs/>
          <w:szCs w:val="24"/>
        </w:rPr>
      </w:pPr>
      <w:r>
        <w:rPr>
          <w:b/>
          <w:bCs/>
        </w:rPr>
        <w:t xml:space="preserve">Fig 3. </w:t>
      </w:r>
      <w:r w:rsidRPr="00050F59">
        <w:rPr>
          <w:rFonts w:cs="Times New Roman"/>
          <w:b/>
          <w:bCs/>
          <w:szCs w:val="24"/>
        </w:rPr>
        <w:t>Bayesian model analysis results.</w:t>
      </w:r>
      <w:r>
        <w:rPr>
          <w:rFonts w:cs="Times New Roman"/>
          <w:b/>
          <w:bCs/>
          <w:szCs w:val="24"/>
        </w:rPr>
        <w:t xml:space="preserve"> </w:t>
      </w:r>
      <w:r>
        <w:rPr>
          <w:rFonts w:cs="Times New Roman"/>
          <w:bCs/>
          <w:szCs w:val="24"/>
        </w:rPr>
        <w:t>(A) the variance of spatially variable components (</w:t>
      </w:r>
      <m:oMath>
        <m:sSup>
          <m:sSupPr>
            <m:ctrlPr>
              <w:rPr>
                <w:rFonts w:ascii="Cambria Math" w:hAnsi="Cambria Math" w:cs="Times New Roman"/>
                <w:bCs/>
                <w:szCs w:val="24"/>
              </w:rPr>
            </m:ctrlPr>
          </m:sSupPr>
          <m:e>
            <m:sSub>
              <m:sSubPr>
                <m:ctrlPr>
                  <w:rPr>
                    <w:rFonts w:ascii="Cambria Math" w:hAnsi="Cambria Math" w:cs="Times New Roman"/>
                    <w:bCs/>
                    <w:i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Cs w:val="24"/>
                  </w:rPr>
                  <m:t>σ</m:t>
                </m:r>
              </m:e>
              <m:sub>
                <m:r>
                  <w:rPr>
                    <w:rFonts w:ascii="Cambria Math" w:hAnsi="Cambria Math" w:cs="Times New Roman"/>
                    <w:szCs w:val="24"/>
                  </w:rPr>
                  <m:t>s</m:t>
                </m:r>
              </m:sub>
            </m:sSub>
          </m:e>
          <m:sup>
            <m:r>
              <w:rPr>
                <w:rFonts w:ascii="Cambria Math" w:hAnsi="Cambria Math" w:cs="Times New Roman"/>
                <w:szCs w:val="24"/>
              </w:rPr>
              <m:t>2</m:t>
            </m:r>
          </m:sup>
        </m:sSup>
      </m:oMath>
      <w:r>
        <w:rPr>
          <w:rFonts w:cs="Times New Roman"/>
          <w:bCs/>
          <w:szCs w:val="24"/>
        </w:rPr>
        <w:t>)</w:t>
      </w:r>
      <w:r>
        <w:rPr>
          <w:rFonts w:cs="Times New Roman" w:hint="eastAsia"/>
          <w:bCs/>
          <w:szCs w:val="24"/>
        </w:rPr>
        <w:t xml:space="preserve"> </w:t>
      </w:r>
      <w:r>
        <w:rPr>
          <w:rFonts w:cs="Times New Roman"/>
          <w:bCs/>
          <w:szCs w:val="24"/>
        </w:rPr>
        <w:t>and the variance of time-variant components (</w:t>
      </w:r>
      <m:oMath>
        <m:sSup>
          <m:sSupPr>
            <m:ctrlPr>
              <w:rPr>
                <w:rFonts w:ascii="Cambria Math" w:hAnsi="Cambria Math" w:cs="Times New Roman"/>
                <w:bCs/>
                <w:szCs w:val="24"/>
              </w:rPr>
            </m:ctrlPr>
          </m:sSupPr>
          <m:e>
            <m:sSub>
              <m:sSubPr>
                <m:ctrlPr>
                  <w:rPr>
                    <w:rFonts w:ascii="Cambria Math" w:hAnsi="Cambria Math" w:cs="Times New Roman"/>
                    <w:bCs/>
                    <w:i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Cs w:val="24"/>
                  </w:rPr>
                  <m:t>σ</m:t>
                </m:r>
              </m:e>
              <m:sub>
                <m:r>
                  <w:rPr>
                    <w:rFonts w:ascii="Cambria Math" w:hAnsi="Cambria Math" w:cs="Times New Roman"/>
                    <w:szCs w:val="24"/>
                  </w:rPr>
                  <m:t>b1</m:t>
                </m:r>
              </m:sub>
            </m:sSub>
          </m:e>
          <m:sup>
            <m:r>
              <w:rPr>
                <w:rFonts w:ascii="Cambria Math" w:hAnsi="Cambria Math" w:cs="Times New Roman"/>
                <w:szCs w:val="24"/>
              </w:rPr>
              <m:t>2</m:t>
            </m:r>
          </m:sup>
        </m:sSup>
      </m:oMath>
      <w:r>
        <w:rPr>
          <w:rFonts w:cs="Times New Roman"/>
          <w:bCs/>
          <w:szCs w:val="24"/>
        </w:rPr>
        <w:t xml:space="preserve">) of Inner Mongolia from 2005 to 2015. </w:t>
      </w:r>
      <w:r>
        <w:rPr>
          <w:rFonts w:cs="Times New Roman" w:hint="eastAsia"/>
          <w:bCs/>
          <w:szCs w:val="24"/>
        </w:rPr>
        <w:t>(</w:t>
      </w:r>
      <w:r>
        <w:rPr>
          <w:rFonts w:cs="Times New Roman"/>
          <w:bCs/>
          <w:szCs w:val="24"/>
        </w:rPr>
        <w:t>B) the variance of spatially variable components (</w:t>
      </w:r>
      <m:oMath>
        <m:sSup>
          <m:sSupPr>
            <m:ctrlPr>
              <w:rPr>
                <w:rFonts w:ascii="Cambria Math" w:hAnsi="Cambria Math" w:cs="Times New Roman"/>
                <w:bCs/>
                <w:szCs w:val="24"/>
              </w:rPr>
            </m:ctrlPr>
          </m:sSupPr>
          <m:e>
            <m:sSub>
              <m:sSubPr>
                <m:ctrlPr>
                  <w:rPr>
                    <w:rFonts w:ascii="Cambria Math" w:hAnsi="Cambria Math" w:cs="Times New Roman"/>
                    <w:bCs/>
                    <w:i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Cs w:val="24"/>
                  </w:rPr>
                  <m:t>σ</m:t>
                </m:r>
              </m:e>
              <m:sub>
                <m:r>
                  <w:rPr>
                    <w:rFonts w:ascii="Cambria Math" w:hAnsi="Cambria Math" w:cs="Times New Roman"/>
                    <w:szCs w:val="24"/>
                  </w:rPr>
                  <m:t>s</m:t>
                </m:r>
              </m:sub>
            </m:sSub>
          </m:e>
          <m:sup>
            <m:r>
              <w:rPr>
                <w:rFonts w:ascii="Cambria Math" w:hAnsi="Cambria Math" w:cs="Times New Roman"/>
                <w:szCs w:val="24"/>
              </w:rPr>
              <m:t>2</m:t>
            </m:r>
          </m:sup>
        </m:sSup>
      </m:oMath>
      <w:r>
        <w:rPr>
          <w:rFonts w:cs="Times New Roman"/>
          <w:bCs/>
          <w:szCs w:val="24"/>
        </w:rPr>
        <w:t>)</w:t>
      </w:r>
      <w:r>
        <w:rPr>
          <w:rFonts w:cs="Times New Roman" w:hint="eastAsia"/>
          <w:bCs/>
          <w:szCs w:val="24"/>
        </w:rPr>
        <w:t xml:space="preserve"> </w:t>
      </w:r>
      <w:r>
        <w:rPr>
          <w:rFonts w:cs="Times New Roman"/>
          <w:bCs/>
          <w:szCs w:val="24"/>
        </w:rPr>
        <w:t>and the variance of time-variant components (</w:t>
      </w:r>
      <m:oMath>
        <m:sSup>
          <m:sSupPr>
            <m:ctrlPr>
              <w:rPr>
                <w:rFonts w:ascii="Cambria Math" w:hAnsi="Cambria Math" w:cs="Times New Roman"/>
                <w:bCs/>
                <w:szCs w:val="24"/>
              </w:rPr>
            </m:ctrlPr>
          </m:sSupPr>
          <m:e>
            <m:sSub>
              <m:sSubPr>
                <m:ctrlPr>
                  <w:rPr>
                    <w:rFonts w:ascii="Cambria Math" w:hAnsi="Cambria Math" w:cs="Times New Roman"/>
                    <w:bCs/>
                    <w:i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Cs w:val="24"/>
                  </w:rPr>
                  <m:t>σ</m:t>
                </m:r>
              </m:e>
              <m:sub>
                <m:r>
                  <w:rPr>
                    <w:rFonts w:ascii="Cambria Math" w:hAnsi="Cambria Math" w:cs="Times New Roman"/>
                    <w:szCs w:val="24"/>
                  </w:rPr>
                  <m:t>b1</m:t>
                </m:r>
              </m:sub>
            </m:sSub>
          </m:e>
          <m:sup>
            <m:r>
              <w:rPr>
                <w:rFonts w:ascii="Cambria Math" w:hAnsi="Cambria Math" w:cs="Times New Roman"/>
                <w:szCs w:val="24"/>
              </w:rPr>
              <m:t>2</m:t>
            </m:r>
          </m:sup>
        </m:sSup>
      </m:oMath>
      <w:r>
        <w:rPr>
          <w:rFonts w:cs="Times New Roman"/>
          <w:bCs/>
          <w:szCs w:val="24"/>
        </w:rPr>
        <w:t>) of Inner Mongolia from 2005 to 2019. (C) The time relative risk from 2005 to 2015. (D) The time relative risk from 2005 to 2019.</w:t>
      </w:r>
    </w:p>
    <w:p w:rsidR="00F4526F" w:rsidRDefault="00F4526F">
      <w:bookmarkStart w:id="0" w:name="_GoBack"/>
      <w:bookmarkEnd w:id="0"/>
    </w:p>
    <w:sectPr w:rsidR="00F452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1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28B7"/>
    <w:rsid w:val="003A0A23"/>
    <w:rsid w:val="00EB28B7"/>
    <w:rsid w:val="00F45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FEAD165-D14D-48E9-A51C-08F1AF575E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B28B7"/>
    <w:pPr>
      <w:spacing w:before="120" w:after="240" w:line="240" w:lineRule="auto"/>
    </w:pPr>
    <w:rPr>
      <w:rFonts w:ascii="Times New Roman" w:eastAsiaTheme="minorEastAsia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67</Words>
  <Characters>386</Characters>
  <Application>Microsoft Office Word</Application>
  <DocSecurity>0</DocSecurity>
  <Lines>3</Lines>
  <Paragraphs>1</Paragraphs>
  <ScaleCrop>false</ScaleCrop>
  <Company>Springer Nature</Company>
  <LinksUpToDate>false</LinksUpToDate>
  <CharactersWithSpaces>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2020-12-28T12:21:00Z</dcterms:created>
  <dcterms:modified xsi:type="dcterms:W3CDTF">2020-12-28T12:22:00Z</dcterms:modified>
</cp:coreProperties>
</file>