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4BD5" w:rsidRPr="004E2F31" w:rsidRDefault="00504BD5" w:rsidP="00504BD5">
      <w:pPr>
        <w:tabs>
          <w:tab w:val="center" w:pos="4156"/>
        </w:tabs>
        <w:spacing w:line="480" w:lineRule="auto"/>
        <w:jc w:val="left"/>
        <w:rPr>
          <w:rFonts w:ascii="Times New Roman" w:eastAsia="Times New Roman Uni" w:hAnsi="Times New Roman" w:cs="Times New Roman"/>
          <w:b/>
          <w:color w:val="000000" w:themeColor="text1"/>
          <w:sz w:val="24"/>
          <w:szCs w:val="24"/>
        </w:rPr>
      </w:pPr>
      <w:r w:rsidRPr="004E2F31">
        <w:rPr>
          <w:rFonts w:ascii="Times New Roman" w:eastAsia="Times New Roman Uni" w:hAnsi="Times New Roman" w:cs="Times New Roman"/>
          <w:b/>
          <w:color w:val="000000" w:themeColor="text1"/>
          <w:sz w:val="24"/>
          <w:szCs w:val="24"/>
        </w:rPr>
        <w:t>Supplemental Material</w:t>
      </w:r>
    </w:p>
    <w:p w:rsidR="00504BD5" w:rsidRPr="004E2F31" w:rsidRDefault="00504BD5" w:rsidP="00504BD5">
      <w:pPr>
        <w:spacing w:line="480" w:lineRule="auto"/>
        <w:jc w:val="left"/>
        <w:rPr>
          <w:rFonts w:ascii="Times New Roman" w:eastAsia="Times New Roman Uni" w:hAnsi="Times New Roman" w:cs="Times New Roman"/>
          <w:b/>
          <w:color w:val="000000" w:themeColor="text1"/>
          <w:sz w:val="24"/>
          <w:szCs w:val="24"/>
        </w:rPr>
      </w:pPr>
      <w:r w:rsidRPr="004E2F31">
        <w:rPr>
          <w:rFonts w:ascii="Times New Roman" w:eastAsia="Times New Roman Uni" w:hAnsi="Times New Roman" w:cs="Times New Roman"/>
          <w:b/>
          <w:color w:val="000000" w:themeColor="text1"/>
          <w:sz w:val="24"/>
          <w:szCs w:val="24"/>
        </w:rPr>
        <w:t>Reproducibility study</w:t>
      </w:r>
    </w:p>
    <w:p w:rsidR="00504BD5" w:rsidRPr="004E2F31" w:rsidRDefault="00504BD5" w:rsidP="00504BD5">
      <w:pPr>
        <w:spacing w:line="480" w:lineRule="auto"/>
        <w:ind w:firstLineChars="100" w:firstLine="240"/>
        <w:jc w:val="left"/>
        <w:rPr>
          <w:rFonts w:ascii="Times New Roman" w:eastAsia="Times New Roman Uni" w:hAnsi="Times New Roman" w:cs="Times New Roman"/>
          <w:sz w:val="24"/>
          <w:szCs w:val="24"/>
          <w:highlight w:val="yellow"/>
        </w:rPr>
      </w:pPr>
      <w:r w:rsidRPr="004E2F31">
        <w:rPr>
          <w:rFonts w:ascii="Times New Roman" w:eastAsia="Times New Roman Uni" w:hAnsi="Times New Roman" w:cs="Times New Roman"/>
          <w:sz w:val="24"/>
          <w:szCs w:val="24"/>
        </w:rPr>
        <w:t>Forty individuals were randomly selected for a reproducibility study to identify the CMBs. One observer (M.</w:t>
      </w:r>
      <w:r w:rsidRPr="00E25F82">
        <w:rPr>
          <w:rFonts w:ascii="Times New Roman" w:eastAsia="Times New Roman Uni" w:hAnsi="Times New Roman" w:cs="Times New Roman"/>
          <w:sz w:val="24"/>
          <w:szCs w:val="24"/>
        </w:rPr>
        <w:t xml:space="preserve"> </w:t>
      </w:r>
      <w:r w:rsidRPr="004E2F31">
        <w:rPr>
          <w:rFonts w:ascii="Times New Roman" w:eastAsia="Times New Roman Uni" w:hAnsi="Times New Roman" w:cs="Times New Roman"/>
          <w:sz w:val="24"/>
          <w:szCs w:val="24"/>
        </w:rPr>
        <w:t>Y</w:t>
      </w:r>
      <w:r>
        <w:rPr>
          <w:rFonts w:ascii="Times New Roman" w:eastAsia="Times New Roman Uni" w:hAnsi="Times New Roman" w:cs="Times New Roman"/>
          <w:sz w:val="24"/>
          <w:szCs w:val="24"/>
        </w:rPr>
        <w:t>u</w:t>
      </w:r>
      <w:r w:rsidRPr="004E2F31">
        <w:rPr>
          <w:rFonts w:ascii="Times New Roman" w:eastAsia="Times New Roman Uni" w:hAnsi="Times New Roman" w:cs="Times New Roman"/>
          <w:sz w:val="24"/>
          <w:szCs w:val="24"/>
        </w:rPr>
        <w:t>) reviewed the images twice with a time interval of 3 months to minimize memory bias. Another observer (Y.</w:t>
      </w:r>
      <w:r w:rsidRPr="00E25F82">
        <w:rPr>
          <w:rFonts w:ascii="Times New Roman" w:eastAsia="Times New Roman Uni" w:hAnsi="Times New Roman" w:cs="Times New Roman"/>
          <w:sz w:val="24"/>
          <w:szCs w:val="24"/>
        </w:rPr>
        <w:t xml:space="preserve"> </w:t>
      </w:r>
      <w:proofErr w:type="spellStart"/>
      <w:r w:rsidRPr="004E2F31">
        <w:rPr>
          <w:rFonts w:ascii="Times New Roman" w:eastAsia="Times New Roman Uni" w:hAnsi="Times New Roman" w:cs="Times New Roman"/>
          <w:sz w:val="24"/>
          <w:szCs w:val="24"/>
        </w:rPr>
        <w:t>J</w:t>
      </w:r>
      <w:r>
        <w:rPr>
          <w:rFonts w:ascii="Times New Roman" w:eastAsia="Times New Roman Uni" w:hAnsi="Times New Roman" w:cs="Times New Roman"/>
          <w:sz w:val="24"/>
          <w:szCs w:val="24"/>
        </w:rPr>
        <w:t>ia</w:t>
      </w:r>
      <w:proofErr w:type="spellEnd"/>
      <w:r w:rsidRPr="004E2F31">
        <w:rPr>
          <w:rFonts w:ascii="Times New Roman" w:eastAsia="Times New Roman Uni" w:hAnsi="Times New Roman" w:cs="Times New Roman"/>
          <w:sz w:val="24"/>
          <w:szCs w:val="24"/>
        </w:rPr>
        <w:t>.) interpreted the MR images and was blinded to the review results of the first observer.</w:t>
      </w:r>
    </w:p>
    <w:p w:rsidR="00504BD5" w:rsidRDefault="00504BD5" w:rsidP="00504BD5">
      <w:pPr>
        <w:spacing w:line="480" w:lineRule="auto"/>
        <w:ind w:firstLineChars="100" w:firstLine="240"/>
        <w:jc w:val="left"/>
        <w:rPr>
          <w:rFonts w:ascii="Times New Roman" w:eastAsia="Times New Roman Uni" w:hAnsi="Times New Roman" w:cs="Times New Roman"/>
          <w:color w:val="000000" w:themeColor="text1"/>
          <w:sz w:val="24"/>
          <w:szCs w:val="24"/>
        </w:rPr>
      </w:pPr>
      <w:r w:rsidRPr="004E2F31">
        <w:rPr>
          <w:rFonts w:ascii="Times New Roman" w:eastAsia="Times New Roman Uni" w:hAnsi="Times New Roman" w:cs="Times New Roman"/>
          <w:kern w:val="0"/>
          <w:sz w:val="24"/>
          <w:szCs w:val="24"/>
        </w:rPr>
        <w:t xml:space="preserve">Cohen’s κ </w:t>
      </w:r>
      <w:r>
        <w:rPr>
          <w:rFonts w:ascii="Times New Roman" w:eastAsia="Times New Roman Uni" w:hAnsi="Times New Roman" w:cs="Times New Roman"/>
          <w:kern w:val="0"/>
          <w:sz w:val="24"/>
          <w:szCs w:val="24"/>
        </w:rPr>
        <w:t xml:space="preserve">values </w:t>
      </w:r>
      <w:r w:rsidRPr="004E2F31">
        <w:rPr>
          <w:rFonts w:ascii="Times New Roman" w:eastAsia="Times New Roman Uni" w:hAnsi="Times New Roman" w:cs="Times New Roman"/>
          <w:kern w:val="0"/>
          <w:sz w:val="24"/>
          <w:szCs w:val="24"/>
        </w:rPr>
        <w:t>of inter- and intra-observer reliability in identifying the presence of CMBs were</w:t>
      </w:r>
      <w:r>
        <w:rPr>
          <w:rFonts w:ascii="Times New Roman" w:eastAsia="Times New Roman Uni" w:hAnsi="Times New Roman" w:cs="Times New Roman"/>
          <w:kern w:val="0"/>
          <w:sz w:val="24"/>
          <w:szCs w:val="24"/>
        </w:rPr>
        <w:t xml:space="preserve"> 0.94 </w:t>
      </w:r>
      <w:r>
        <w:rPr>
          <w:rFonts w:ascii="Times New Roman" w:eastAsia="Times New Roman Uni" w:hAnsi="Times New Roman" w:cs="Times New Roman" w:hint="eastAsia"/>
          <w:kern w:val="0"/>
          <w:sz w:val="24"/>
          <w:szCs w:val="24"/>
        </w:rPr>
        <w:t>and</w:t>
      </w:r>
      <w:r>
        <w:rPr>
          <w:rFonts w:ascii="Times New Roman" w:eastAsia="Times New Roman Uni" w:hAnsi="Times New Roman" w:cs="Times New Roman"/>
          <w:kern w:val="0"/>
          <w:sz w:val="24"/>
          <w:szCs w:val="24"/>
        </w:rPr>
        <w:t xml:space="preserve"> 0.99</w:t>
      </w:r>
      <w:r w:rsidRPr="004E2F31">
        <w:rPr>
          <w:rFonts w:ascii="Times New Roman" w:eastAsia="Times New Roman Uni" w:hAnsi="Times New Roman" w:cs="Times New Roman"/>
          <w:kern w:val="0"/>
          <w:sz w:val="24"/>
          <w:szCs w:val="24"/>
        </w:rPr>
        <w:t xml:space="preserve">. </w:t>
      </w:r>
      <w:r w:rsidRPr="004E2F31">
        <w:rPr>
          <w:rFonts w:ascii="Times New Roman" w:eastAsia="Times New Roman Uni" w:hAnsi="Times New Roman" w:cs="Times New Roman"/>
          <w:sz w:val="24"/>
          <w:szCs w:val="24"/>
        </w:rPr>
        <w:t xml:space="preserve">The </w:t>
      </w:r>
      <w:proofErr w:type="spellStart"/>
      <w:r w:rsidRPr="004E2F31">
        <w:rPr>
          <w:rFonts w:ascii="Times New Roman" w:eastAsia="Times New Roman Uni" w:hAnsi="Times New Roman" w:cs="Times New Roman"/>
          <w:sz w:val="24"/>
          <w:szCs w:val="24"/>
        </w:rPr>
        <w:t>intraclass</w:t>
      </w:r>
      <w:proofErr w:type="spellEnd"/>
      <w:r w:rsidRPr="004E2F31">
        <w:rPr>
          <w:rFonts w:ascii="Times New Roman" w:eastAsia="Times New Roman Uni" w:hAnsi="Times New Roman" w:cs="Times New Roman"/>
          <w:sz w:val="24"/>
          <w:szCs w:val="24"/>
        </w:rPr>
        <w:t xml:space="preserve"> correlation coefficients of inter-observer and intra-observer reliability in evaluating the number of CMBs were 0.9</w:t>
      </w:r>
      <w:r>
        <w:rPr>
          <w:rFonts w:ascii="Times New Roman" w:eastAsia="Times New Roman Uni" w:hAnsi="Times New Roman" w:cs="Times New Roman"/>
          <w:sz w:val="24"/>
          <w:szCs w:val="24"/>
        </w:rPr>
        <w:t>6</w:t>
      </w:r>
      <w:r w:rsidRPr="004E2F31">
        <w:rPr>
          <w:rFonts w:ascii="Times New Roman" w:eastAsia="Times New Roman Uni" w:hAnsi="Times New Roman" w:cs="Times New Roman"/>
          <w:sz w:val="24"/>
          <w:szCs w:val="24"/>
        </w:rPr>
        <w:t xml:space="preserve"> and 0.9</w:t>
      </w:r>
      <w:r>
        <w:rPr>
          <w:rFonts w:ascii="Times New Roman" w:eastAsia="Times New Roman Uni" w:hAnsi="Times New Roman" w:cs="Times New Roman"/>
          <w:sz w:val="24"/>
          <w:szCs w:val="24"/>
        </w:rPr>
        <w:t>9</w:t>
      </w:r>
      <w:r w:rsidRPr="004E2F31">
        <w:rPr>
          <w:rFonts w:ascii="Times New Roman" w:eastAsia="Times New Roman Uni" w:hAnsi="Times New Roman" w:cs="Times New Roman"/>
          <w:sz w:val="24"/>
          <w:szCs w:val="24"/>
        </w:rPr>
        <w:t>, respectively. Cohen’s kappa values of inter-observer and intra-observer reliability in assessing the location of CMBs were both 0.94</w:t>
      </w:r>
      <w:r>
        <w:rPr>
          <w:rFonts w:ascii="Times New Roman" w:eastAsia="Times New Roman Uni" w:hAnsi="Times New Roman" w:cs="Times New Roman"/>
          <w:sz w:val="24"/>
          <w:szCs w:val="24"/>
        </w:rPr>
        <w:t xml:space="preserve"> and 0.99</w:t>
      </w:r>
      <w:r w:rsidRPr="004E2F31">
        <w:rPr>
          <w:rFonts w:ascii="Times New Roman" w:eastAsia="Times New Roman Uni" w:hAnsi="Times New Roman" w:cs="Times New Roman"/>
          <w:sz w:val="24"/>
          <w:szCs w:val="24"/>
        </w:rPr>
        <w:t>.</w:t>
      </w:r>
      <w:r>
        <w:rPr>
          <w:rFonts w:ascii="Times New Roman" w:eastAsia="Times New Roman Uni" w:hAnsi="Times New Roman" w:cs="Times New Roman"/>
          <w:color w:val="000000" w:themeColor="text1"/>
          <w:sz w:val="24"/>
          <w:szCs w:val="24"/>
        </w:rPr>
        <w:br w:type="page"/>
      </w:r>
    </w:p>
    <w:p w:rsidR="00504BD5" w:rsidRPr="004E2F31" w:rsidRDefault="00504BD5" w:rsidP="00504BD5">
      <w:pPr>
        <w:widowControl/>
        <w:spacing w:line="480" w:lineRule="auto"/>
        <w:jc w:val="left"/>
        <w:rPr>
          <w:rFonts w:ascii="Times New Roman" w:eastAsia="Times New Roman Uni" w:hAnsi="Times New Roman" w:cs="Times New Roman"/>
          <w:color w:val="000000" w:themeColor="text1"/>
          <w:sz w:val="24"/>
          <w:szCs w:val="24"/>
        </w:rPr>
      </w:pPr>
      <w:r w:rsidRPr="004E2F31">
        <w:rPr>
          <w:rFonts w:ascii="Times New Roman" w:eastAsia="Times New Roman Uni" w:hAnsi="Times New Roman" w:cs="Times New Roman"/>
          <w:color w:val="000000" w:themeColor="text1"/>
          <w:sz w:val="24"/>
          <w:szCs w:val="24"/>
        </w:rPr>
        <w:lastRenderedPageBreak/>
        <w:t xml:space="preserve">Table </w:t>
      </w:r>
      <w:r>
        <w:rPr>
          <w:rFonts w:ascii="Times New Roman" w:eastAsia="Times New Roman Uni" w:hAnsi="Times New Roman" w:cs="Times New Roman"/>
          <w:color w:val="000000" w:themeColor="text1"/>
          <w:sz w:val="24"/>
          <w:szCs w:val="24"/>
        </w:rPr>
        <w:t>S1</w:t>
      </w:r>
      <w:r w:rsidRPr="004E2F31">
        <w:rPr>
          <w:rFonts w:ascii="Times New Roman" w:eastAsia="Times New Roman Uni" w:hAnsi="Times New Roman" w:cs="Times New Roman"/>
          <w:color w:val="000000" w:themeColor="text1"/>
          <w:sz w:val="24"/>
          <w:szCs w:val="24"/>
        </w:rPr>
        <w:t xml:space="preserve"> Laboratory Examination of DM and non-DM individuals </w:t>
      </w:r>
      <w:r w:rsidRPr="004E2F31">
        <w:rPr>
          <w:rFonts w:ascii="Times New Roman" w:eastAsia="Times New Roman Uni" w:hAnsi="Times New Roman" w:cs="Times New Roman"/>
          <w:sz w:val="24"/>
          <w:szCs w:val="24"/>
        </w:rPr>
        <w:t xml:space="preserve">stratified </w:t>
      </w:r>
      <w:r w:rsidRPr="004E2F31">
        <w:rPr>
          <w:rFonts w:ascii="Times New Roman" w:eastAsia="Times New Roman Uni" w:hAnsi="Times New Roman" w:cs="Times New Roman"/>
          <w:color w:val="000000" w:themeColor="text1"/>
          <w:sz w:val="24"/>
          <w:szCs w:val="24"/>
        </w:rPr>
        <w:t>by CMB presence</w:t>
      </w:r>
    </w:p>
    <w:tbl>
      <w:tblPr>
        <w:tblStyle w:val="TableGrid"/>
        <w:tblW w:w="930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0"/>
        <w:gridCol w:w="1083"/>
        <w:gridCol w:w="1126"/>
        <w:gridCol w:w="1084"/>
        <w:gridCol w:w="756"/>
        <w:gridCol w:w="1111"/>
        <w:gridCol w:w="1126"/>
        <w:gridCol w:w="1111"/>
        <w:gridCol w:w="756"/>
      </w:tblGrid>
      <w:tr w:rsidR="00504BD5" w:rsidRPr="004E2F31" w:rsidTr="00FB2162">
        <w:trPr>
          <w:trHeight w:val="626"/>
        </w:trPr>
        <w:tc>
          <w:tcPr>
            <w:tcW w:w="1034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2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DM individuals</w:t>
            </w:r>
          </w:p>
        </w:tc>
        <w:tc>
          <w:tcPr>
            <w:tcW w:w="414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Non-DM individuals</w:t>
            </w:r>
          </w:p>
        </w:tc>
      </w:tr>
      <w:tr w:rsidR="00504BD5" w:rsidRPr="004E2F31" w:rsidTr="00FB2162">
        <w:trPr>
          <w:trHeight w:val="1748"/>
        </w:trPr>
        <w:tc>
          <w:tcPr>
            <w:tcW w:w="1034" w:type="dxa"/>
            <w:tcBorders>
              <w:bottom w:val="single" w:sz="4" w:space="0" w:color="auto"/>
            </w:tcBorders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</w:tcPr>
          <w:p w:rsidR="00504BD5" w:rsidRPr="004E2F31" w:rsidRDefault="00504BD5" w:rsidP="00FB2162">
            <w:pPr>
              <w:spacing w:line="480" w:lineRule="auto"/>
              <w:ind w:firstLineChars="50" w:firstLine="120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Total (n=87)</w:t>
            </w: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</w:tcPr>
          <w:p w:rsidR="00504BD5" w:rsidRPr="004E2F31" w:rsidRDefault="00504BD5" w:rsidP="00FB2162">
            <w:pPr>
              <w:spacing w:line="480" w:lineRule="auto"/>
              <w:ind w:firstLineChars="50" w:firstLine="120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CMB presence (n=24)</w:t>
            </w: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No CMB (n=63)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i/>
                <w:color w:val="000000" w:themeColor="text1"/>
                <w:sz w:val="24"/>
                <w:szCs w:val="24"/>
              </w:rPr>
              <w:t>P</w:t>
            </w: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 xml:space="preserve"> value</w:t>
            </w: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</w:tcPr>
          <w:p w:rsidR="00504BD5" w:rsidRPr="004E2F31" w:rsidRDefault="00504BD5" w:rsidP="00FB2162">
            <w:pPr>
              <w:spacing w:line="480" w:lineRule="auto"/>
              <w:ind w:firstLineChars="50" w:firstLine="120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Total</w:t>
            </w:r>
          </w:p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(n=457)</w:t>
            </w: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</w:tcPr>
          <w:p w:rsidR="00504BD5" w:rsidRPr="004E2F31" w:rsidRDefault="00504BD5" w:rsidP="00FB2162">
            <w:pPr>
              <w:spacing w:line="480" w:lineRule="auto"/>
              <w:ind w:firstLineChars="50" w:firstLine="120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CMB presence</w:t>
            </w:r>
          </w:p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(n=95)</w:t>
            </w: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</w:tcPr>
          <w:p w:rsidR="00504BD5" w:rsidRPr="004E2F31" w:rsidRDefault="00504BD5" w:rsidP="00FB2162">
            <w:pPr>
              <w:spacing w:line="480" w:lineRule="auto"/>
              <w:ind w:firstLineChars="50" w:firstLine="120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 xml:space="preserve">No CMB </w:t>
            </w:r>
          </w:p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(n=362)</w:t>
            </w: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i/>
                <w:color w:val="000000" w:themeColor="text1"/>
                <w:sz w:val="24"/>
                <w:szCs w:val="24"/>
              </w:rPr>
              <w:t>P</w:t>
            </w: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 xml:space="preserve"> value</w:t>
            </w:r>
          </w:p>
        </w:tc>
      </w:tr>
      <w:tr w:rsidR="00504BD5" w:rsidRPr="004E2F31" w:rsidTr="00FB2162">
        <w:trPr>
          <w:trHeight w:val="1252"/>
        </w:trPr>
        <w:tc>
          <w:tcPr>
            <w:tcW w:w="1034" w:type="dxa"/>
            <w:tcBorders>
              <w:top w:val="single" w:sz="4" w:space="0" w:color="auto"/>
            </w:tcBorders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HbA1c (%)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sz w:val="24"/>
                <w:szCs w:val="24"/>
              </w:rPr>
              <w:t>6.90 ± 1.11</w:t>
            </w:r>
          </w:p>
        </w:tc>
        <w:tc>
          <w:tcPr>
            <w:tcW w:w="1146" w:type="dxa"/>
            <w:tcBorders>
              <w:top w:val="single" w:sz="4" w:space="0" w:color="auto"/>
            </w:tcBorders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sz w:val="24"/>
                <w:szCs w:val="24"/>
              </w:rPr>
              <w:t>7.37 ± 1.27</w:t>
            </w:r>
          </w:p>
        </w:tc>
        <w:tc>
          <w:tcPr>
            <w:tcW w:w="1146" w:type="dxa"/>
            <w:tcBorders>
              <w:top w:val="single" w:sz="4" w:space="0" w:color="auto"/>
            </w:tcBorders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sz w:val="24"/>
                <w:szCs w:val="24"/>
              </w:rPr>
              <w:t>6.72 ± 1.00</w:t>
            </w:r>
          </w:p>
        </w:tc>
        <w:tc>
          <w:tcPr>
            <w:tcW w:w="690" w:type="dxa"/>
            <w:tcBorders>
              <w:top w:val="single" w:sz="4" w:space="0" w:color="auto"/>
            </w:tcBorders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sz w:val="24"/>
                <w:szCs w:val="24"/>
              </w:rPr>
              <w:t>0.01</w:t>
            </w:r>
            <w:r>
              <w:rPr>
                <w:rFonts w:ascii="Times New Roman" w:eastAsia="Times New Roman Un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sz w:val="24"/>
                <w:szCs w:val="24"/>
              </w:rPr>
              <w:t>5.58 ± 0.36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sz w:val="24"/>
                <w:szCs w:val="24"/>
              </w:rPr>
              <w:t>5.69 ± 0.33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sz w:val="24"/>
                <w:szCs w:val="24"/>
              </w:rPr>
              <w:t>5.55 ± 0.36</w:t>
            </w:r>
          </w:p>
        </w:tc>
        <w:tc>
          <w:tcPr>
            <w:tcW w:w="703" w:type="dxa"/>
            <w:tcBorders>
              <w:top w:val="single" w:sz="4" w:space="0" w:color="auto"/>
            </w:tcBorders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 Uni" w:hAnsi="Times New Roman" w:cs="Times New Roman"/>
                <w:sz w:val="24"/>
                <w:szCs w:val="24"/>
              </w:rPr>
              <w:t>&lt; 0.001</w:t>
            </w:r>
          </w:p>
        </w:tc>
      </w:tr>
      <w:tr w:rsidR="00504BD5" w:rsidRPr="004E2F31" w:rsidTr="00FB2162">
        <w:trPr>
          <w:trHeight w:val="1149"/>
        </w:trPr>
        <w:tc>
          <w:tcPr>
            <w:tcW w:w="1034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FBG (</w:t>
            </w:r>
            <w:proofErr w:type="spellStart"/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mmol</w:t>
            </w:r>
            <w:proofErr w:type="spellEnd"/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/L)</w:t>
            </w:r>
          </w:p>
        </w:tc>
        <w:tc>
          <w:tcPr>
            <w:tcW w:w="1146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sz w:val="24"/>
                <w:szCs w:val="24"/>
              </w:rPr>
              <w:t>6.48 ± 1.72</w:t>
            </w:r>
          </w:p>
        </w:tc>
        <w:tc>
          <w:tcPr>
            <w:tcW w:w="1146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/>
                <w:sz w:val="24"/>
                <w:szCs w:val="24"/>
              </w:rPr>
              <w:t>7.05 ± 2.10</w:t>
            </w:r>
          </w:p>
        </w:tc>
        <w:tc>
          <w:tcPr>
            <w:tcW w:w="1146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sz w:val="24"/>
                <w:szCs w:val="24"/>
              </w:rPr>
              <w:t>6.26 ± 1.52</w:t>
            </w:r>
          </w:p>
        </w:tc>
        <w:tc>
          <w:tcPr>
            <w:tcW w:w="690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eastAsia="Times New Roman Uni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146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sz w:val="24"/>
                <w:szCs w:val="24"/>
              </w:rPr>
              <w:t>4.72 ± 0.51</w:t>
            </w:r>
          </w:p>
        </w:tc>
        <w:tc>
          <w:tcPr>
            <w:tcW w:w="1146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/>
                <w:sz w:val="24"/>
                <w:szCs w:val="24"/>
              </w:rPr>
              <w:t>4.75 ± 0.52</w:t>
            </w:r>
          </w:p>
        </w:tc>
        <w:tc>
          <w:tcPr>
            <w:tcW w:w="1146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sz w:val="24"/>
                <w:szCs w:val="24"/>
              </w:rPr>
              <w:t>4.71 ± 0.51</w:t>
            </w:r>
          </w:p>
        </w:tc>
        <w:tc>
          <w:tcPr>
            <w:tcW w:w="703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0.53</w:t>
            </w:r>
            <w:r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504BD5" w:rsidRPr="004E2F31" w:rsidTr="00FB2162">
        <w:trPr>
          <w:trHeight w:val="1323"/>
        </w:trPr>
        <w:tc>
          <w:tcPr>
            <w:tcW w:w="1034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LDL-C (</w:t>
            </w:r>
            <w:proofErr w:type="spellStart"/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mmol</w:t>
            </w:r>
            <w:proofErr w:type="spellEnd"/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/L)</w:t>
            </w:r>
          </w:p>
        </w:tc>
        <w:tc>
          <w:tcPr>
            <w:tcW w:w="1146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2.91 ± 0.91</w:t>
            </w:r>
          </w:p>
        </w:tc>
        <w:tc>
          <w:tcPr>
            <w:tcW w:w="1146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sz w:val="24"/>
                <w:szCs w:val="24"/>
              </w:rPr>
              <w:t>3.05 ± 0.68</w:t>
            </w:r>
          </w:p>
        </w:tc>
        <w:tc>
          <w:tcPr>
            <w:tcW w:w="1146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/>
                <w:sz w:val="24"/>
                <w:szCs w:val="24"/>
              </w:rPr>
              <w:t>2.85 ± 0.98</w:t>
            </w:r>
          </w:p>
        </w:tc>
        <w:tc>
          <w:tcPr>
            <w:tcW w:w="690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sz w:val="24"/>
                <w:szCs w:val="24"/>
              </w:rPr>
              <w:t>0.38</w:t>
            </w:r>
            <w:r>
              <w:rPr>
                <w:rFonts w:ascii="Times New Roman" w:eastAsia="Times New Roman Un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46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sz w:val="24"/>
                <w:szCs w:val="24"/>
              </w:rPr>
              <w:t>2.96 ± 0.83</w:t>
            </w:r>
          </w:p>
        </w:tc>
        <w:tc>
          <w:tcPr>
            <w:tcW w:w="1146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sz w:val="24"/>
                <w:szCs w:val="24"/>
              </w:rPr>
              <w:t>2.75 ± 0.76</w:t>
            </w:r>
          </w:p>
        </w:tc>
        <w:tc>
          <w:tcPr>
            <w:tcW w:w="1146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sz w:val="24"/>
                <w:szCs w:val="24"/>
              </w:rPr>
              <w:t>3.01 ± 0.84</w:t>
            </w:r>
          </w:p>
        </w:tc>
        <w:tc>
          <w:tcPr>
            <w:tcW w:w="703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eastAsia="Times New Roman Uni" w:hAnsi="Times New Roman" w:cs="Times New Roman"/>
                <w:sz w:val="24"/>
                <w:szCs w:val="24"/>
              </w:rPr>
              <w:t>06</w:t>
            </w:r>
          </w:p>
        </w:tc>
      </w:tr>
      <w:tr w:rsidR="00504BD5" w:rsidRPr="004E2F31" w:rsidTr="00FB2162">
        <w:trPr>
          <w:trHeight w:val="1271"/>
        </w:trPr>
        <w:tc>
          <w:tcPr>
            <w:tcW w:w="1034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HDL-C (</w:t>
            </w:r>
            <w:proofErr w:type="spellStart"/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mmol</w:t>
            </w:r>
            <w:proofErr w:type="spellEnd"/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/L)</w:t>
            </w:r>
          </w:p>
        </w:tc>
        <w:tc>
          <w:tcPr>
            <w:tcW w:w="1146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1.42 ± 0.33</w:t>
            </w:r>
          </w:p>
        </w:tc>
        <w:tc>
          <w:tcPr>
            <w:tcW w:w="1146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sz w:val="24"/>
                <w:szCs w:val="24"/>
              </w:rPr>
              <w:t>1.37 ± 0.35</w:t>
            </w:r>
          </w:p>
        </w:tc>
        <w:tc>
          <w:tcPr>
            <w:tcW w:w="1146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/>
                <w:sz w:val="24"/>
                <w:szCs w:val="24"/>
              </w:rPr>
              <w:t xml:space="preserve">1.44 </w:t>
            </w:r>
            <w:r w:rsidRPr="004E2F31">
              <w:rPr>
                <w:rFonts w:ascii="Times New Roman" w:eastAsia="Times New Roman Uni" w:hAnsi="Times New Roman" w:cs="Times New Roman"/>
                <w:sz w:val="24"/>
                <w:szCs w:val="24"/>
              </w:rPr>
              <w:t>± 0.32</w:t>
            </w:r>
          </w:p>
        </w:tc>
        <w:tc>
          <w:tcPr>
            <w:tcW w:w="690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sz w:val="24"/>
                <w:szCs w:val="24"/>
              </w:rPr>
              <w:t>0.36</w:t>
            </w:r>
            <w:r>
              <w:rPr>
                <w:rFonts w:ascii="Times New Roman" w:eastAsia="Times New Roman Un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6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sz w:val="24"/>
                <w:szCs w:val="24"/>
              </w:rPr>
              <w:t>1.49 ± 0.38</w:t>
            </w:r>
          </w:p>
        </w:tc>
        <w:tc>
          <w:tcPr>
            <w:tcW w:w="1146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/>
                <w:sz w:val="24"/>
                <w:szCs w:val="24"/>
              </w:rPr>
              <w:t xml:space="preserve">1.48 </w:t>
            </w:r>
            <w:r w:rsidRPr="004E2F31">
              <w:rPr>
                <w:rFonts w:ascii="Times New Roman" w:eastAsia="Times New Roman Uni" w:hAnsi="Times New Roman" w:cs="Times New Roman"/>
                <w:sz w:val="24"/>
                <w:szCs w:val="24"/>
              </w:rPr>
              <w:t>± 0.36</w:t>
            </w:r>
          </w:p>
        </w:tc>
        <w:tc>
          <w:tcPr>
            <w:tcW w:w="1146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sz w:val="24"/>
                <w:szCs w:val="24"/>
              </w:rPr>
              <w:t xml:space="preserve">1.49 ± </w:t>
            </w:r>
            <w:r w:rsidRPr="004E2F31">
              <w:rPr>
                <w:rFonts w:ascii="Times New Roman" w:eastAsia="Times New Roman Uni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703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0.83</w:t>
            </w:r>
            <w:r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504BD5" w:rsidRPr="004E2F31" w:rsidTr="00FB2162">
        <w:trPr>
          <w:trHeight w:val="1289"/>
        </w:trPr>
        <w:tc>
          <w:tcPr>
            <w:tcW w:w="1034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Hs-CRP (mg/L)</w:t>
            </w:r>
          </w:p>
        </w:tc>
        <w:tc>
          <w:tcPr>
            <w:tcW w:w="1146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/>
                <w:sz w:val="24"/>
                <w:szCs w:val="24"/>
              </w:rPr>
              <w:t>1.30 (0.80, 2.90)</w:t>
            </w:r>
          </w:p>
        </w:tc>
        <w:tc>
          <w:tcPr>
            <w:tcW w:w="1146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sz w:val="24"/>
                <w:szCs w:val="24"/>
              </w:rPr>
              <w:t>1.45 (0.70, 3.15)</w:t>
            </w:r>
          </w:p>
        </w:tc>
        <w:tc>
          <w:tcPr>
            <w:tcW w:w="1146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sz w:val="24"/>
                <w:szCs w:val="24"/>
              </w:rPr>
              <w:t>1.30 (0.80, 2.90)</w:t>
            </w:r>
          </w:p>
        </w:tc>
        <w:tc>
          <w:tcPr>
            <w:tcW w:w="690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0.69</w:t>
            </w:r>
            <w:r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146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sz w:val="24"/>
                <w:szCs w:val="24"/>
              </w:rPr>
              <w:t>0.80 (0.50, 1.60)</w:t>
            </w:r>
          </w:p>
        </w:tc>
        <w:tc>
          <w:tcPr>
            <w:tcW w:w="1146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sz w:val="24"/>
                <w:szCs w:val="24"/>
              </w:rPr>
              <w:t>0.90 (0.50, 1.60)</w:t>
            </w:r>
          </w:p>
        </w:tc>
        <w:tc>
          <w:tcPr>
            <w:tcW w:w="1146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sz w:val="24"/>
                <w:szCs w:val="24"/>
              </w:rPr>
              <w:t>0.80 (0.50, 1.60)</w:t>
            </w:r>
          </w:p>
        </w:tc>
        <w:tc>
          <w:tcPr>
            <w:tcW w:w="703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0.5</w:t>
            </w:r>
            <w:r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59</w:t>
            </w:r>
          </w:p>
        </w:tc>
      </w:tr>
    </w:tbl>
    <w:p w:rsidR="00504BD5" w:rsidRDefault="00504BD5" w:rsidP="00504BD5">
      <w:pPr>
        <w:spacing w:line="480" w:lineRule="auto"/>
        <w:ind w:firstLineChars="50" w:firstLine="120"/>
        <w:rPr>
          <w:rFonts w:ascii="Times New Roman" w:eastAsia="Times New Roman Uni" w:hAnsi="Times New Roman" w:cs="Times New Roman"/>
          <w:color w:val="000000" w:themeColor="text1"/>
          <w:sz w:val="24"/>
          <w:szCs w:val="24"/>
        </w:rPr>
      </w:pPr>
      <w:r w:rsidRPr="004E2F31">
        <w:rPr>
          <w:rFonts w:ascii="Times New Roman" w:eastAsia="Times New Roman Uni" w:hAnsi="Times New Roman" w:cs="Times New Roman"/>
          <w:color w:val="000000" w:themeColor="text1"/>
          <w:sz w:val="24"/>
          <w:szCs w:val="24"/>
        </w:rPr>
        <w:t>Abbreviations: FBG,</w:t>
      </w:r>
      <w:r w:rsidRPr="004E2F31">
        <w:rPr>
          <w:rFonts w:ascii="Times New Roman" w:eastAsia="Times New Roman Uni" w:hAnsi="Times New Roman" w:cs="Times New Roman"/>
          <w:sz w:val="24"/>
          <w:szCs w:val="24"/>
        </w:rPr>
        <w:t xml:space="preserve"> </w:t>
      </w:r>
      <w:r w:rsidRPr="004E2F31">
        <w:rPr>
          <w:rFonts w:ascii="Times New Roman" w:eastAsia="Times New Roman Uni" w:hAnsi="Times New Roman" w:cs="Times New Roman"/>
          <w:color w:val="000000" w:themeColor="text1"/>
          <w:sz w:val="24"/>
          <w:szCs w:val="24"/>
        </w:rPr>
        <w:t>fasting blood glucose; HbA1c,</w:t>
      </w:r>
      <w:r w:rsidRPr="004E2F31">
        <w:rPr>
          <w:rFonts w:ascii="Times New Roman" w:eastAsia="Times New Roman Uni" w:hAnsi="Times New Roman" w:cs="Times New Roman"/>
          <w:sz w:val="24"/>
          <w:szCs w:val="24"/>
        </w:rPr>
        <w:t xml:space="preserve"> glycosylated hemoglobin</w:t>
      </w:r>
      <w:r w:rsidRPr="004E2F31">
        <w:rPr>
          <w:rFonts w:ascii="Times New Roman" w:eastAsia="Times New Roman Uni" w:hAnsi="Times New Roman" w:cs="Times New Roman"/>
          <w:color w:val="000000" w:themeColor="text1"/>
          <w:sz w:val="24"/>
          <w:szCs w:val="24"/>
        </w:rPr>
        <w:t>;</w:t>
      </w:r>
      <w:r w:rsidRPr="004E2F31">
        <w:rPr>
          <w:rFonts w:ascii="Times New Roman" w:eastAsia="Times New Roman Uni" w:hAnsi="Times New Roman" w:cs="Times New Roman"/>
          <w:sz w:val="24"/>
          <w:szCs w:val="24"/>
        </w:rPr>
        <w:t xml:space="preserve"> </w:t>
      </w:r>
      <w:r w:rsidRPr="004E2F31">
        <w:rPr>
          <w:rFonts w:ascii="Times New Roman" w:eastAsia="Times New Roman Uni" w:hAnsi="Times New Roman" w:cs="Times New Roman"/>
          <w:color w:val="000000" w:themeColor="text1"/>
          <w:sz w:val="24"/>
          <w:szCs w:val="24"/>
        </w:rPr>
        <w:t xml:space="preserve">LDL-C, </w:t>
      </w:r>
      <w:r w:rsidRPr="004E2F31">
        <w:rPr>
          <w:rFonts w:ascii="Times New Roman" w:eastAsia="Times New Roman Uni" w:hAnsi="Times New Roman" w:cs="Times New Roman"/>
          <w:sz w:val="24"/>
          <w:szCs w:val="24"/>
        </w:rPr>
        <w:t xml:space="preserve">low density lipoprotein-cholesterol; </w:t>
      </w:r>
      <w:r w:rsidRPr="004E2F31">
        <w:rPr>
          <w:rFonts w:ascii="Times New Roman" w:eastAsia="Times New Roman Uni" w:hAnsi="Times New Roman" w:cs="Times New Roman"/>
          <w:color w:val="000000" w:themeColor="text1"/>
          <w:sz w:val="24"/>
          <w:szCs w:val="24"/>
        </w:rPr>
        <w:t xml:space="preserve">HDL-C, </w:t>
      </w:r>
      <w:r w:rsidRPr="004E2F31">
        <w:rPr>
          <w:rFonts w:ascii="Times New Roman" w:eastAsia="Times New Roman Uni" w:hAnsi="Times New Roman" w:cs="Times New Roman"/>
          <w:sz w:val="24"/>
          <w:szCs w:val="24"/>
        </w:rPr>
        <w:t xml:space="preserve">high density lipoprotein-cholesterol; </w:t>
      </w:r>
      <w:r w:rsidRPr="004E2F31">
        <w:rPr>
          <w:rFonts w:ascii="Times New Roman" w:eastAsia="Times New Roman Uni" w:hAnsi="Times New Roman" w:cs="Times New Roman"/>
          <w:color w:val="000000" w:themeColor="text1"/>
          <w:sz w:val="24"/>
          <w:szCs w:val="24"/>
        </w:rPr>
        <w:t>Hs-CRP, high sensitivity C-reactive protein.</w:t>
      </w:r>
      <w:r>
        <w:rPr>
          <w:rFonts w:ascii="Times New Roman" w:eastAsia="Times New Roman Uni" w:hAnsi="Times New Roman" w:cs="Times New Roman"/>
          <w:color w:val="000000" w:themeColor="text1"/>
          <w:sz w:val="24"/>
          <w:szCs w:val="24"/>
        </w:rPr>
        <w:br w:type="page"/>
      </w:r>
    </w:p>
    <w:p w:rsidR="00504BD5" w:rsidRPr="004E2F31" w:rsidRDefault="00504BD5" w:rsidP="00504BD5">
      <w:pPr>
        <w:spacing w:line="480" w:lineRule="auto"/>
        <w:jc w:val="left"/>
        <w:rPr>
          <w:rFonts w:ascii="Times New Roman" w:eastAsia="Times New Roman Uni" w:hAnsi="Times New Roman" w:cs="Times New Roman"/>
          <w:color w:val="000000" w:themeColor="text1"/>
          <w:sz w:val="24"/>
          <w:szCs w:val="24"/>
        </w:rPr>
      </w:pPr>
      <w:r w:rsidRPr="004E2F31">
        <w:rPr>
          <w:rFonts w:ascii="Times New Roman" w:eastAsia="Times New Roman Uni" w:hAnsi="Times New Roman" w:cs="Times New Roman"/>
          <w:color w:val="000000" w:themeColor="text1"/>
          <w:sz w:val="24"/>
          <w:szCs w:val="24"/>
        </w:rPr>
        <w:lastRenderedPageBreak/>
        <w:t xml:space="preserve">Table </w:t>
      </w:r>
      <w:r>
        <w:rPr>
          <w:rFonts w:ascii="Times New Roman" w:eastAsia="Times New Roman Uni" w:hAnsi="Times New Roman" w:cs="Times New Roman"/>
          <w:color w:val="000000" w:themeColor="text1"/>
          <w:sz w:val="24"/>
          <w:szCs w:val="24"/>
        </w:rPr>
        <w:t>S2</w:t>
      </w:r>
      <w:r w:rsidRPr="004E2F31">
        <w:rPr>
          <w:rFonts w:ascii="Times New Roman" w:eastAsia="Times New Roman Uni" w:hAnsi="Times New Roman" w:cs="Times New Roman"/>
          <w:color w:val="000000" w:themeColor="text1"/>
          <w:sz w:val="24"/>
          <w:szCs w:val="24"/>
        </w:rPr>
        <w:t xml:space="preserve"> Multivariable logistic regression analyses for the association between HbA1c and any CMBs in DM patients (HbA1c as </w:t>
      </w:r>
      <w:r w:rsidRPr="004E2F31">
        <w:rPr>
          <w:rFonts w:ascii="Times New Roman" w:eastAsia="Times New Roman Uni" w:hAnsi="Times New Roman" w:cs="Times New Roman"/>
          <w:noProof/>
          <w:sz w:val="24"/>
          <w:szCs w:val="24"/>
        </w:rPr>
        <w:t>qualitative variable</w:t>
      </w:r>
      <w:r w:rsidRPr="004E2F31">
        <w:rPr>
          <w:rFonts w:ascii="Times New Roman" w:eastAsia="Times New Roman Uni" w:hAnsi="Times New Roman" w:cs="Times New Roman"/>
          <w:color w:val="000000" w:themeColor="text1"/>
          <w:sz w:val="24"/>
          <w:szCs w:val="24"/>
        </w:rPr>
        <w:t>)</w:t>
      </w:r>
    </w:p>
    <w:tbl>
      <w:tblPr>
        <w:tblW w:w="835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1734"/>
        <w:gridCol w:w="2266"/>
        <w:gridCol w:w="2230"/>
      </w:tblGrid>
      <w:tr w:rsidR="00504BD5" w:rsidRPr="004E2F31" w:rsidTr="00FB2162">
        <w:trPr>
          <w:trHeight w:val="627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Unadjusted</w:t>
            </w:r>
          </w:p>
          <w:p w:rsidR="00504BD5" w:rsidRPr="004E2F31" w:rsidRDefault="00504BD5" w:rsidP="00FB2162">
            <w:pPr>
              <w:spacing w:line="480" w:lineRule="auto"/>
              <w:ind w:firstLineChars="50" w:firstLine="120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OR (95% CI)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Model 1</w:t>
            </w:r>
          </w:p>
          <w:p w:rsidR="00504BD5" w:rsidRPr="004E2F31" w:rsidRDefault="00504BD5" w:rsidP="00FB2162">
            <w:pPr>
              <w:spacing w:line="480" w:lineRule="auto"/>
              <w:ind w:firstLineChars="50" w:firstLine="120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OR (95% CI)</w:t>
            </w:r>
          </w:p>
        </w:tc>
        <w:tc>
          <w:tcPr>
            <w:tcW w:w="22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Model 2</w:t>
            </w:r>
          </w:p>
          <w:p w:rsidR="00504BD5" w:rsidRPr="004E2F31" w:rsidRDefault="00504BD5" w:rsidP="00FB2162">
            <w:pPr>
              <w:spacing w:line="480" w:lineRule="auto"/>
              <w:ind w:firstLineChars="50" w:firstLine="120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OR (95% CI)</w:t>
            </w:r>
          </w:p>
        </w:tc>
      </w:tr>
      <w:tr w:rsidR="00504BD5" w:rsidRPr="004E2F31" w:rsidTr="00FB2162">
        <w:trPr>
          <w:trHeight w:val="213"/>
        </w:trPr>
        <w:tc>
          <w:tcPr>
            <w:tcW w:w="2127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Q1 (HbA1c ≤ 6.2)</w:t>
            </w:r>
          </w:p>
        </w:tc>
        <w:tc>
          <w:tcPr>
            <w:tcW w:w="1734" w:type="dxa"/>
            <w:tcBorders>
              <w:top w:val="single" w:sz="4" w:space="0" w:color="auto"/>
            </w:tcBorders>
          </w:tcPr>
          <w:p w:rsidR="00504BD5" w:rsidRPr="004E2F31" w:rsidRDefault="00504BD5" w:rsidP="00FB2162">
            <w:pPr>
              <w:widowControl/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2266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04BD5" w:rsidRPr="004E2F31" w:rsidRDefault="00504BD5" w:rsidP="00FB2162">
            <w:pPr>
              <w:widowControl/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2230" w:type="dxa"/>
            <w:tcBorders>
              <w:top w:val="single" w:sz="4" w:space="0" w:color="auto"/>
            </w:tcBorders>
          </w:tcPr>
          <w:p w:rsidR="00504BD5" w:rsidRPr="004E2F31" w:rsidRDefault="00504BD5" w:rsidP="00FB2162">
            <w:pPr>
              <w:widowControl/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</w:tr>
      <w:tr w:rsidR="00504BD5" w:rsidRPr="004E2F31" w:rsidTr="00FB2162">
        <w:trPr>
          <w:trHeight w:val="385"/>
        </w:trPr>
        <w:tc>
          <w:tcPr>
            <w:tcW w:w="2127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Q2 (6.2&lt; HbA1c ≤6.6)</w:t>
            </w:r>
          </w:p>
        </w:tc>
        <w:tc>
          <w:tcPr>
            <w:tcW w:w="1734" w:type="dxa"/>
          </w:tcPr>
          <w:p w:rsidR="00504BD5" w:rsidRPr="004E2F31" w:rsidRDefault="00504BD5" w:rsidP="00FB2162">
            <w:pPr>
              <w:widowControl/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1.18 (0.27</w:t>
            </w:r>
            <w:r w:rsidRPr="004E2F31">
              <w:rPr>
                <w:rFonts w:ascii="Times New Roman" w:eastAsia="Times New Roman Uni" w:hAnsi="Times New Roman" w:cs="Times New Roman"/>
                <w:bCs/>
                <w:sz w:val="24"/>
                <w:szCs w:val="24"/>
              </w:rPr>
              <w:t>–</w:t>
            </w: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5.12)</w:t>
            </w:r>
          </w:p>
        </w:tc>
        <w:tc>
          <w:tcPr>
            <w:tcW w:w="226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04BD5" w:rsidRPr="008B5C96" w:rsidRDefault="00504BD5" w:rsidP="00FB2162">
            <w:pPr>
              <w:widowControl/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1.38 (0.30</w:t>
            </w:r>
            <w:r w:rsidRPr="004E2F31">
              <w:rPr>
                <w:rFonts w:ascii="Times New Roman" w:eastAsia="Times New Roman Uni" w:hAnsi="Times New Roman" w:cs="Times New Roman"/>
                <w:bCs/>
                <w:sz w:val="24"/>
                <w:szCs w:val="24"/>
              </w:rPr>
              <w:t>–</w:t>
            </w: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6.23)</w:t>
            </w:r>
          </w:p>
        </w:tc>
        <w:tc>
          <w:tcPr>
            <w:tcW w:w="2230" w:type="dxa"/>
          </w:tcPr>
          <w:p w:rsidR="00504BD5" w:rsidRPr="004E2F31" w:rsidRDefault="00504BD5" w:rsidP="00FB2162">
            <w:pPr>
              <w:widowControl/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1.14 (0.20</w:t>
            </w:r>
            <w:r w:rsidRPr="004E2F31">
              <w:rPr>
                <w:rFonts w:ascii="Times New Roman" w:eastAsia="Times New Roman Uni" w:hAnsi="Times New Roman" w:cs="Times New Roman"/>
                <w:bCs/>
                <w:sz w:val="24"/>
                <w:szCs w:val="24"/>
              </w:rPr>
              <w:t>–</w:t>
            </w: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6.44)</w:t>
            </w:r>
          </w:p>
        </w:tc>
      </w:tr>
      <w:tr w:rsidR="00504BD5" w:rsidRPr="004E2F31" w:rsidTr="00FB2162">
        <w:trPr>
          <w:trHeight w:val="385"/>
        </w:trPr>
        <w:tc>
          <w:tcPr>
            <w:tcW w:w="2127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Q3 (6.6&lt; HbA1c ≤7.2)</w:t>
            </w:r>
          </w:p>
        </w:tc>
        <w:tc>
          <w:tcPr>
            <w:tcW w:w="1734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1.06 (0.23</w:t>
            </w:r>
            <w:r w:rsidRPr="004E2F31">
              <w:rPr>
                <w:rFonts w:ascii="Times New Roman" w:eastAsia="Times New Roman Uni" w:hAnsi="Times New Roman" w:cs="Times New Roman"/>
                <w:bCs/>
                <w:sz w:val="24"/>
                <w:szCs w:val="24"/>
              </w:rPr>
              <w:t>–</w:t>
            </w: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4.92)</w:t>
            </w:r>
          </w:p>
        </w:tc>
        <w:tc>
          <w:tcPr>
            <w:tcW w:w="226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04BD5" w:rsidRPr="008B5C96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1.27 (0.26</w:t>
            </w:r>
            <w:r w:rsidRPr="004E2F31">
              <w:rPr>
                <w:rFonts w:ascii="Times New Roman" w:eastAsia="Times New Roman Uni" w:hAnsi="Times New Roman" w:cs="Times New Roman"/>
                <w:bCs/>
                <w:sz w:val="24"/>
                <w:szCs w:val="24"/>
              </w:rPr>
              <w:t>–</w:t>
            </w: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6.20)</w:t>
            </w:r>
          </w:p>
        </w:tc>
        <w:tc>
          <w:tcPr>
            <w:tcW w:w="2230" w:type="dxa"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0.95 (0.17</w:t>
            </w:r>
            <w:r w:rsidRPr="004E2F31">
              <w:rPr>
                <w:rFonts w:ascii="Times New Roman" w:eastAsia="Times New Roman Uni" w:hAnsi="Times New Roman" w:cs="Times New Roman"/>
                <w:bCs/>
                <w:sz w:val="24"/>
                <w:szCs w:val="24"/>
              </w:rPr>
              <w:t>–5</w:t>
            </w: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.45)</w:t>
            </w:r>
          </w:p>
        </w:tc>
      </w:tr>
      <w:tr w:rsidR="00504BD5" w:rsidRPr="004E2F31" w:rsidTr="00FB2162">
        <w:trPr>
          <w:trHeight w:val="385"/>
        </w:trPr>
        <w:tc>
          <w:tcPr>
            <w:tcW w:w="2127" w:type="dxa"/>
            <w:tcBorders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Q4 (HbA1c &gt;7.2)</w:t>
            </w:r>
          </w:p>
        </w:tc>
        <w:tc>
          <w:tcPr>
            <w:tcW w:w="1734" w:type="dxa"/>
            <w:tcBorders>
              <w:bottom w:val="single" w:sz="4" w:space="0" w:color="auto"/>
            </w:tcBorders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5.50 (1.36</w:t>
            </w:r>
            <w:r w:rsidRPr="004E2F31">
              <w:rPr>
                <w:rFonts w:ascii="Times New Roman" w:eastAsia="Times New Roman Uni" w:hAnsi="Times New Roman" w:cs="Times New Roman"/>
                <w:bCs/>
                <w:sz w:val="24"/>
                <w:szCs w:val="24"/>
              </w:rPr>
              <w:t>–</w:t>
            </w: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22.22)</w:t>
            </w:r>
          </w:p>
        </w:tc>
        <w:tc>
          <w:tcPr>
            <w:tcW w:w="2266" w:type="dxa"/>
            <w:tcBorders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04BD5" w:rsidRPr="008B5C96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5.44 (1.</w:t>
            </w:r>
            <w:r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Pr="004E2F31">
              <w:rPr>
                <w:rFonts w:ascii="Times New Roman" w:eastAsia="Times New Roman Uni" w:hAnsi="Times New Roman" w:cs="Times New Roman"/>
                <w:bCs/>
                <w:sz w:val="24"/>
                <w:szCs w:val="24"/>
              </w:rPr>
              <w:t>–</w:t>
            </w: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22.91)</w:t>
            </w:r>
          </w:p>
        </w:tc>
        <w:tc>
          <w:tcPr>
            <w:tcW w:w="2230" w:type="dxa"/>
            <w:tcBorders>
              <w:bottom w:val="single" w:sz="4" w:space="0" w:color="auto"/>
            </w:tcBorders>
          </w:tcPr>
          <w:p w:rsidR="00504BD5" w:rsidRPr="004E2F31" w:rsidRDefault="00504BD5" w:rsidP="00FB2162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</w:pP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6.13 (1.27</w:t>
            </w:r>
            <w:r w:rsidRPr="004E2F31">
              <w:rPr>
                <w:rFonts w:ascii="Times New Roman" w:eastAsia="Times New Roman Uni" w:hAnsi="Times New Roman" w:cs="Times New Roman"/>
                <w:bCs/>
                <w:sz w:val="24"/>
                <w:szCs w:val="24"/>
              </w:rPr>
              <w:t>–</w:t>
            </w:r>
            <w:r w:rsidRPr="004E2F31">
              <w:rPr>
                <w:rFonts w:ascii="Times New Roman" w:eastAsia="Times New Roman Uni" w:hAnsi="Times New Roman" w:cs="Times New Roman"/>
                <w:color w:val="000000" w:themeColor="text1"/>
                <w:sz w:val="24"/>
                <w:szCs w:val="24"/>
              </w:rPr>
              <w:t>29.49)</w:t>
            </w:r>
          </w:p>
        </w:tc>
      </w:tr>
    </w:tbl>
    <w:p w:rsidR="00504BD5" w:rsidRPr="00946981" w:rsidRDefault="00504BD5" w:rsidP="00504BD5">
      <w:pPr>
        <w:spacing w:line="480" w:lineRule="auto"/>
        <w:ind w:firstLineChars="100" w:firstLine="240"/>
        <w:jc w:val="left"/>
        <w:rPr>
          <w:rFonts w:ascii="Times New Roman" w:eastAsia="Times New Roman Uni" w:hAnsi="Times New Roman" w:cs="Times New Roman"/>
          <w:color w:val="000000" w:themeColor="text1"/>
          <w:sz w:val="24"/>
          <w:szCs w:val="24"/>
        </w:rPr>
      </w:pPr>
      <w:bookmarkStart w:id="0" w:name="_Hlk85031886"/>
      <w:r w:rsidRPr="004E2F31">
        <w:rPr>
          <w:rFonts w:ascii="Times New Roman" w:eastAsia="Times New Roman Uni" w:hAnsi="Times New Roman" w:cs="Times New Roman"/>
          <w:color w:val="000000" w:themeColor="text1"/>
          <w:sz w:val="24"/>
          <w:szCs w:val="24"/>
        </w:rPr>
        <w:t xml:space="preserve">Subgroup analysis: Model 1 was adjusted for age, sex; Model 2 was adjusted for age, sex, </w:t>
      </w:r>
      <w:r w:rsidRPr="004E2F31">
        <w:rPr>
          <w:rFonts w:ascii="Times New Roman" w:hAnsi="Times New Roman" w:cs="Times New Roman"/>
          <w:sz w:val="24"/>
          <w:szCs w:val="24"/>
        </w:rPr>
        <w:t xml:space="preserve">history of smoke, </w:t>
      </w:r>
      <w:r w:rsidRPr="004E2F31">
        <w:rPr>
          <w:rFonts w:ascii="Times New Roman" w:eastAsia="Times New Roman Uni" w:hAnsi="Times New Roman" w:cs="Times New Roman"/>
          <w:color w:val="000000"/>
          <w:kern w:val="0"/>
          <w:sz w:val="24"/>
          <w:szCs w:val="24"/>
        </w:rPr>
        <w:t>hypertension</w:t>
      </w:r>
      <w:r w:rsidRPr="004E2F31">
        <w:rPr>
          <w:rFonts w:ascii="Times New Roman" w:eastAsia="Times New Roman Uni" w:hAnsi="Times New Roman" w:cs="Times New Roman"/>
          <w:color w:val="000000" w:themeColor="text1"/>
          <w:sz w:val="24"/>
          <w:szCs w:val="24"/>
        </w:rPr>
        <w:t>, atrial fibrillation</w:t>
      </w:r>
      <w:r w:rsidRPr="004E2F31">
        <w:rPr>
          <w:rFonts w:ascii="Times New Roman" w:eastAsia="Times New Roman Uni" w:hAnsi="Times New Roman" w:cs="Times New Roman"/>
          <w:color w:val="000000"/>
          <w:kern w:val="0"/>
          <w:sz w:val="24"/>
          <w:szCs w:val="24"/>
        </w:rPr>
        <w:t>, antiplatelet agents</w:t>
      </w:r>
      <w:r w:rsidRPr="004E2F31">
        <w:rPr>
          <w:rFonts w:ascii="Times New Roman" w:eastAsia="Times New Roman Uni" w:hAnsi="Times New Roman" w:cs="Times New Roman"/>
          <w:color w:val="000000" w:themeColor="text1"/>
          <w:sz w:val="24"/>
          <w:szCs w:val="24"/>
        </w:rPr>
        <w:t>,</w:t>
      </w:r>
      <w:r w:rsidRPr="004E2F31">
        <w:rPr>
          <w:rFonts w:ascii="Times New Roman" w:eastAsia="Times New Roman Uni" w:hAnsi="Times New Roman" w:cs="Times New Roman"/>
          <w:color w:val="000000"/>
          <w:kern w:val="0"/>
          <w:sz w:val="24"/>
          <w:szCs w:val="24"/>
        </w:rPr>
        <w:t xml:space="preserve"> </w:t>
      </w:r>
      <w:r w:rsidRPr="004E2F31">
        <w:rPr>
          <w:rFonts w:ascii="Times New Roman" w:eastAsia="Times New Roman Uni" w:hAnsi="Times New Roman" w:cs="Times New Roman"/>
          <w:color w:val="000000" w:themeColor="text1"/>
          <w:sz w:val="24"/>
          <w:szCs w:val="24"/>
        </w:rPr>
        <w:t>antihypertensive agents,</w:t>
      </w:r>
      <w:r w:rsidRPr="004E2F31">
        <w:rPr>
          <w:rFonts w:ascii="Times New Roman" w:eastAsia="Times New Roman Uni" w:hAnsi="Times New Roman" w:cs="Times New Roman"/>
          <w:color w:val="000000"/>
          <w:kern w:val="0"/>
          <w:sz w:val="24"/>
          <w:szCs w:val="24"/>
        </w:rPr>
        <w:t xml:space="preserve"> lipid-lowering drugs, and </w:t>
      </w:r>
      <w:bookmarkEnd w:id="0"/>
      <w:r w:rsidRPr="004E2F31">
        <w:rPr>
          <w:rFonts w:ascii="Times New Roman" w:eastAsia="Times New Roman Uni" w:hAnsi="Times New Roman" w:cs="Times New Roman"/>
          <w:color w:val="000000" w:themeColor="text1"/>
          <w:sz w:val="24"/>
          <w:szCs w:val="24"/>
        </w:rPr>
        <w:t>LDL-C.</w:t>
      </w:r>
    </w:p>
    <w:p w:rsidR="002F0F5E" w:rsidRDefault="00504BD5">
      <w:bookmarkStart w:id="1" w:name="_GoBack"/>
      <w:bookmarkEnd w:id="1"/>
    </w:p>
    <w:sectPr w:rsidR="002F0F5E" w:rsidSect="00A14A36">
      <w:headerReference w:type="even" r:id="rId4"/>
      <w:footerReference w:type="even" r:id="rId5"/>
      <w:footerReference w:type="default" r:id="rId6"/>
      <w:footerReference w:type="first" r:id="rId7"/>
      <w:pgSz w:w="11906" w:h="16838"/>
      <w:pgMar w:top="1440" w:right="1440" w:bottom="1440" w:left="1440" w:header="851" w:footer="992" w:gutter="0"/>
      <w:lnNumType w:countBy="1" w:restart="continuous"/>
      <w:pgNumType w:start="1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Uni">
    <w:altName w:val="Malgun Gothic Semilight"/>
    <w:charset w:val="86"/>
    <w:family w:val="roman"/>
    <w:pitch w:val="variable"/>
    <w:sig w:usb0="00000000" w:usb1="F9DFFFFF" w:usb2="0000003E" w:usb3="00000000" w:csb0="001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3738" w:rsidRDefault="00504BD5">
    <w:pPr>
      <w:pStyle w:val="Footer"/>
    </w:pPr>
  </w:p>
  <w:p w:rsidR="00433738" w:rsidRDefault="00504BD5"/>
  <w:p w:rsidR="00433738" w:rsidRDefault="00504BD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82401547"/>
      <w:docPartObj>
        <w:docPartGallery w:val="Page Numbers (Bottom of Page)"/>
        <w:docPartUnique/>
      </w:docPartObj>
    </w:sdtPr>
    <w:sdtEndPr/>
    <w:sdtContent>
      <w:p w:rsidR="00433738" w:rsidRDefault="00504BD5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504BD5">
          <w:rPr>
            <w:noProof/>
            <w:lang w:val="zh-CN"/>
          </w:rPr>
          <w:t>3</w:t>
        </w:r>
        <w:r>
          <w:fldChar w:fldCharType="end"/>
        </w:r>
      </w:p>
    </w:sdtContent>
  </w:sdt>
  <w:p w:rsidR="00433738" w:rsidRDefault="00504BD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24377394"/>
      <w:docPartObj>
        <w:docPartGallery w:val="Page Numbers (Bottom of Page)"/>
        <w:docPartUnique/>
      </w:docPartObj>
    </w:sdtPr>
    <w:sdtEndPr/>
    <w:sdtContent>
      <w:p w:rsidR="00433738" w:rsidRDefault="00504BD5">
        <w:pPr>
          <w:pStyle w:val="Footer"/>
          <w:jc w:val="center"/>
        </w:pPr>
        <w:r>
          <w:t>1</w:t>
        </w:r>
      </w:p>
    </w:sdtContent>
  </w:sdt>
  <w:p w:rsidR="00433738" w:rsidRDefault="00504BD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3738" w:rsidRDefault="00504BD5">
    <w:pPr>
      <w:pStyle w:val="Header"/>
    </w:pPr>
  </w:p>
  <w:p w:rsidR="00433738" w:rsidRDefault="00504BD5"/>
  <w:p w:rsidR="00433738" w:rsidRDefault="00504BD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BD5"/>
    <w:rsid w:val="0021090F"/>
    <w:rsid w:val="00504BD5"/>
    <w:rsid w:val="00C52827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17A4D3-1719-445B-84F7-FBD2A59B7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4BD5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4B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04BD5"/>
    <w:rPr>
      <w:rFonts w:eastAsiaTheme="minorEastAsia"/>
      <w:kern w:val="2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504B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04BD5"/>
    <w:rPr>
      <w:rFonts w:eastAsiaTheme="minorEastAsia"/>
      <w:kern w:val="2"/>
      <w:sz w:val="18"/>
      <w:szCs w:val="18"/>
      <w:lang w:eastAsia="zh-CN"/>
    </w:rPr>
  </w:style>
  <w:style w:type="table" w:styleId="TableGrid">
    <w:name w:val="Table Grid"/>
    <w:basedOn w:val="TableNormal"/>
    <w:uiPriority w:val="39"/>
    <w:rsid w:val="00504BD5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504B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362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2022-02-14T18:39:00Z</dcterms:created>
  <dcterms:modified xsi:type="dcterms:W3CDTF">2022-02-14T18:39:00Z</dcterms:modified>
</cp:coreProperties>
</file>