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4AFF229" w14:textId="77777777" w:rsidR="00E046B1" w:rsidRPr="007F6714" w:rsidRDefault="00E046B1" w:rsidP="00E046B1">
      <w:pPr>
        <w:spacing w:after="0" w:line="480" w:lineRule="auto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bookmarkStart w:id="0" w:name="_Hlk56083341"/>
      <w:r w:rsidRPr="007F6714">
        <w:rPr>
          <w:rFonts w:ascii="Times New Roman" w:hAnsi="Times New Roman" w:cs="Times New Roman"/>
          <w:b/>
          <w:bCs/>
          <w:sz w:val="20"/>
          <w:szCs w:val="20"/>
          <w:lang w:val="en-US"/>
        </w:rPr>
        <w:t>Supplementary Information</w:t>
      </w:r>
    </w:p>
    <w:p w14:paraId="2C996B23" w14:textId="77777777" w:rsidR="00E046B1" w:rsidRDefault="00E046B1" w:rsidP="00CD2E58">
      <w:pPr>
        <w:spacing w:after="0" w:line="480" w:lineRule="auto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6BBE2E3E" w14:textId="6EA78B57" w:rsidR="00CD2E58" w:rsidRPr="00CD2E58" w:rsidRDefault="00CD2E58" w:rsidP="00CD2E58">
      <w:pPr>
        <w:spacing w:after="0" w:line="480" w:lineRule="auto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 w:rsidRPr="00CD2E58">
        <w:rPr>
          <w:rFonts w:ascii="Times New Roman" w:hAnsi="Times New Roman" w:cs="Times New Roman"/>
          <w:b/>
          <w:bCs/>
          <w:sz w:val="20"/>
          <w:szCs w:val="20"/>
          <w:lang w:val="en-US"/>
        </w:rPr>
        <w:t>Rapid, quantitative</w:t>
      </w:r>
      <w:r w:rsidRPr="00CD2E58">
        <w:rPr>
          <w:rFonts w:ascii="Times New Roman" w:hAnsi="Times New Roman" w:cs="Times New Roman"/>
          <w:b/>
          <w:sz w:val="20"/>
          <w:szCs w:val="20"/>
          <w:lang w:val="en-US"/>
        </w:rPr>
        <w:t>,</w:t>
      </w:r>
      <w:r w:rsidRPr="00CD2E58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 and high-</w:t>
      </w:r>
      <w:r w:rsidRPr="00CD2E58">
        <w:rPr>
          <w:rFonts w:ascii="Times New Roman" w:hAnsi="Times New Roman" w:cs="Times New Roman"/>
          <w:b/>
          <w:sz w:val="20"/>
          <w:szCs w:val="20"/>
          <w:lang w:val="en-US"/>
        </w:rPr>
        <w:t>sensitivity</w:t>
      </w:r>
      <w:r w:rsidRPr="00CD2E58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 </w:t>
      </w:r>
      <w:bookmarkEnd w:id="0"/>
      <w:r w:rsidRPr="00CD2E58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detection of anti-phospholipase A2 receptor antibodies using </w:t>
      </w:r>
      <w:r w:rsidRPr="00CD2E58">
        <w:rPr>
          <w:rFonts w:ascii="Times New Roman" w:hAnsi="Times New Roman" w:cs="Times New Roman"/>
          <w:b/>
          <w:sz w:val="20"/>
          <w:szCs w:val="20"/>
          <w:lang w:val="en-US"/>
        </w:rPr>
        <w:t>novel</w:t>
      </w:r>
      <w:r w:rsidRPr="00CD2E58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 </w:t>
      </w:r>
      <w:proofErr w:type="spellStart"/>
      <w:r w:rsidRPr="00CD2E58">
        <w:rPr>
          <w:rFonts w:ascii="Times New Roman" w:hAnsi="Times New Roman" w:cs="Times New Roman"/>
          <w:b/>
          <w:bCs/>
          <w:sz w:val="20"/>
          <w:szCs w:val="20"/>
          <w:lang w:val="en-US"/>
        </w:rPr>
        <w:t>CdSe</w:t>
      </w:r>
      <w:proofErr w:type="spellEnd"/>
      <w:r w:rsidRPr="00CD2E58">
        <w:rPr>
          <w:rFonts w:ascii="Times New Roman" w:hAnsi="Times New Roman" w:cs="Times New Roman"/>
          <w:b/>
          <w:bCs/>
          <w:sz w:val="20"/>
          <w:szCs w:val="20"/>
          <w:lang w:val="en-US"/>
        </w:rPr>
        <w:t>/ZnS-based fluorescence immunosorbent assay</w:t>
      </w:r>
    </w:p>
    <w:p w14:paraId="7A00E586" w14:textId="77777777" w:rsidR="00CD2E58" w:rsidRPr="00CD2E58" w:rsidRDefault="00CD2E58" w:rsidP="00CD2E58">
      <w:pPr>
        <w:spacing w:after="0" w:line="480" w:lineRule="auto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0F724031" w14:textId="77777777" w:rsidR="00CD2E58" w:rsidRDefault="00CD2E58" w:rsidP="00CD2E58">
      <w:pPr>
        <w:spacing w:after="0" w:line="480" w:lineRule="auto"/>
        <w:rPr>
          <w:rFonts w:ascii="Times New Roman" w:hAnsi="Times New Roman" w:cs="Times New Roman"/>
          <w:sz w:val="20"/>
          <w:szCs w:val="20"/>
          <w:vertAlign w:val="superscript"/>
          <w:lang w:val="en-US"/>
        </w:rPr>
      </w:pPr>
      <w:bookmarkStart w:id="1" w:name="_30j0zll"/>
      <w:bookmarkEnd w:id="1"/>
      <w:proofErr w:type="spellStart"/>
      <w:r w:rsidRPr="00CD2E58">
        <w:rPr>
          <w:rFonts w:ascii="Times New Roman" w:hAnsi="Times New Roman" w:cs="Times New Roman"/>
          <w:sz w:val="20"/>
          <w:szCs w:val="20"/>
          <w:lang w:val="en-US"/>
        </w:rPr>
        <w:t>Chenxi</w:t>
      </w:r>
      <w:proofErr w:type="spellEnd"/>
      <w:r w:rsidRPr="00CD2E58">
        <w:rPr>
          <w:rFonts w:ascii="Times New Roman" w:hAnsi="Times New Roman" w:cs="Times New Roman"/>
          <w:sz w:val="20"/>
          <w:szCs w:val="20"/>
          <w:lang w:val="en-US"/>
        </w:rPr>
        <w:t xml:space="preserve"> Li</w:t>
      </w:r>
      <w:r w:rsidRPr="00CD2E58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1</w:t>
      </w:r>
      <w:r w:rsidRPr="00CD2E58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proofErr w:type="spellStart"/>
      <w:r w:rsidRPr="00CD2E58">
        <w:rPr>
          <w:rFonts w:ascii="Times New Roman" w:hAnsi="Times New Roman" w:cs="Times New Roman"/>
          <w:sz w:val="20"/>
          <w:szCs w:val="20"/>
          <w:lang w:val="en-US"/>
        </w:rPr>
        <w:t>Manyun</w:t>
      </w:r>
      <w:proofErr w:type="spellEnd"/>
      <w:r w:rsidRPr="00CD2E58">
        <w:rPr>
          <w:rFonts w:ascii="Times New Roman" w:hAnsi="Times New Roman" w:cs="Times New Roman"/>
          <w:sz w:val="20"/>
          <w:szCs w:val="20"/>
          <w:lang w:val="en-US"/>
        </w:rPr>
        <w:t xml:space="preserve"> Qian</w:t>
      </w:r>
      <w:r w:rsidRPr="00CD2E58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2</w:t>
      </w:r>
      <w:r w:rsidRPr="00CD2E58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proofErr w:type="spellStart"/>
      <w:r w:rsidRPr="00CD2E58">
        <w:rPr>
          <w:rFonts w:ascii="Times New Roman" w:hAnsi="Times New Roman" w:cs="Times New Roman"/>
          <w:sz w:val="20"/>
          <w:szCs w:val="20"/>
          <w:lang w:val="en-US"/>
        </w:rPr>
        <w:t>Qiaozhen</w:t>
      </w:r>
      <w:proofErr w:type="spellEnd"/>
      <w:r w:rsidRPr="00CD2E58">
        <w:rPr>
          <w:rFonts w:ascii="Times New Roman" w:hAnsi="Times New Roman" w:cs="Times New Roman"/>
          <w:sz w:val="20"/>
          <w:szCs w:val="20"/>
          <w:lang w:val="en-US"/>
        </w:rPr>
        <w:t xml:space="preserve"> Hong</w:t>
      </w:r>
      <w:r w:rsidRPr="00CD2E58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3</w:t>
      </w:r>
      <w:r w:rsidRPr="00CD2E58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proofErr w:type="spellStart"/>
      <w:r w:rsidRPr="00CD2E58">
        <w:rPr>
          <w:rFonts w:ascii="Times New Roman" w:hAnsi="Times New Roman" w:cs="Times New Roman"/>
          <w:sz w:val="20"/>
          <w:szCs w:val="20"/>
          <w:lang w:val="en-US"/>
        </w:rPr>
        <w:t>Xiaohong</w:t>
      </w:r>
      <w:proofErr w:type="spellEnd"/>
      <w:r w:rsidRPr="00CD2E58">
        <w:rPr>
          <w:rFonts w:ascii="Times New Roman" w:hAnsi="Times New Roman" w:cs="Times New Roman"/>
          <w:sz w:val="20"/>
          <w:szCs w:val="20"/>
          <w:lang w:val="en-US"/>
        </w:rPr>
        <w:t xml:space="preserve"> Xin</w:t>
      </w:r>
      <w:r w:rsidRPr="00CD2E58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2</w:t>
      </w:r>
      <w:r w:rsidRPr="00CD2E58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proofErr w:type="spellStart"/>
      <w:r w:rsidRPr="00CD2E58">
        <w:rPr>
          <w:rFonts w:ascii="Times New Roman" w:hAnsi="Times New Roman" w:cs="Times New Roman"/>
          <w:sz w:val="20"/>
          <w:szCs w:val="20"/>
          <w:lang w:val="en-US"/>
        </w:rPr>
        <w:t>Zichun</w:t>
      </w:r>
      <w:proofErr w:type="spellEnd"/>
      <w:r w:rsidRPr="00CD2E58">
        <w:rPr>
          <w:rFonts w:ascii="Times New Roman" w:hAnsi="Times New Roman" w:cs="Times New Roman"/>
          <w:sz w:val="20"/>
          <w:szCs w:val="20"/>
          <w:lang w:val="en-US"/>
        </w:rPr>
        <w:t xml:space="preserve"> Sun</w:t>
      </w:r>
      <w:r w:rsidRPr="00CD2E58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4</w:t>
      </w:r>
      <w:r w:rsidRPr="00CD2E58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proofErr w:type="spellStart"/>
      <w:r w:rsidRPr="00CD2E58">
        <w:rPr>
          <w:rFonts w:ascii="Times New Roman" w:hAnsi="Times New Roman" w:cs="Times New Roman"/>
          <w:sz w:val="20"/>
          <w:szCs w:val="20"/>
          <w:lang w:val="en-US"/>
        </w:rPr>
        <w:t>Yafeng</w:t>
      </w:r>
      <w:proofErr w:type="spellEnd"/>
      <w:r w:rsidRPr="00CD2E58">
        <w:rPr>
          <w:rFonts w:ascii="Times New Roman" w:hAnsi="Times New Roman" w:cs="Times New Roman"/>
          <w:sz w:val="20"/>
          <w:szCs w:val="20"/>
          <w:lang w:val="en-US"/>
        </w:rPr>
        <w:t xml:space="preserve"> Li</w:t>
      </w:r>
      <w:r w:rsidRPr="00CD2E58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2*</w:t>
      </w:r>
      <w:r w:rsidRPr="00CD2E58">
        <w:rPr>
          <w:rFonts w:ascii="Times New Roman" w:hAnsi="Times New Roman" w:cs="Times New Roman"/>
          <w:sz w:val="20"/>
          <w:szCs w:val="20"/>
          <w:lang w:val="en-US"/>
        </w:rPr>
        <w:t>,</w:t>
      </w:r>
      <w:r w:rsidRPr="00CD2E58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 xml:space="preserve"> </w:t>
      </w:r>
      <w:r w:rsidRPr="00CD2E58">
        <w:rPr>
          <w:rFonts w:ascii="Times New Roman" w:hAnsi="Times New Roman" w:cs="Times New Roman"/>
          <w:sz w:val="20"/>
          <w:szCs w:val="20"/>
          <w:lang w:val="en-US"/>
        </w:rPr>
        <w:t>Bo Tang</w:t>
      </w:r>
      <w:r w:rsidRPr="00CD2E58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1,4*</w:t>
      </w:r>
      <w:r w:rsidRPr="00CD2E58">
        <w:rPr>
          <w:rFonts w:ascii="Times New Roman" w:hAnsi="Times New Roman" w:cs="Times New Roman"/>
          <w:sz w:val="20"/>
          <w:szCs w:val="20"/>
          <w:lang w:val="en-US"/>
        </w:rPr>
        <w:t>,</w:t>
      </w:r>
      <w:r w:rsidRPr="00CD2E58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 xml:space="preserve"> </w:t>
      </w:r>
      <w:r w:rsidRPr="00CD2E58">
        <w:rPr>
          <w:rFonts w:ascii="Times New Roman" w:hAnsi="Times New Roman" w:cs="Times New Roman"/>
          <w:sz w:val="20"/>
          <w:szCs w:val="20"/>
          <w:lang w:val="en-US"/>
        </w:rPr>
        <w:t>Bing Gu</w:t>
      </w:r>
      <w:r w:rsidRPr="00CD2E58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 xml:space="preserve">1,5* </w:t>
      </w:r>
    </w:p>
    <w:p w14:paraId="2D154AAE" w14:textId="77777777" w:rsidR="00CD2E58" w:rsidRPr="00CD2E58" w:rsidRDefault="00CD2E58" w:rsidP="00CD2E58">
      <w:pPr>
        <w:spacing w:after="0" w:line="480" w:lineRule="auto"/>
        <w:rPr>
          <w:rFonts w:ascii="Times New Roman" w:hAnsi="Times New Roman" w:cs="Times New Roman"/>
          <w:sz w:val="20"/>
          <w:szCs w:val="20"/>
          <w:vertAlign w:val="superscript"/>
          <w:lang w:val="en-US"/>
        </w:rPr>
      </w:pPr>
    </w:p>
    <w:p w14:paraId="24DEB580" w14:textId="77777777" w:rsidR="00CD2E58" w:rsidRPr="00CD2E58" w:rsidRDefault="00CD2E58" w:rsidP="00CD2E58">
      <w:pPr>
        <w:spacing w:after="0"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CD2E58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1</w:t>
      </w:r>
      <w:r w:rsidRPr="00CD2E58">
        <w:rPr>
          <w:rFonts w:ascii="Times New Roman" w:hAnsi="Times New Roman" w:cs="Times New Roman"/>
          <w:sz w:val="20"/>
          <w:szCs w:val="20"/>
          <w:lang w:val="en-US"/>
        </w:rPr>
        <w:t xml:space="preserve">Medical Technology School of Xuzhou Medical University, Xuzhou Key Laboratory of Laboratory Diagnostics, Xuzhou 221004, China </w:t>
      </w:r>
    </w:p>
    <w:p w14:paraId="0EE5C37F" w14:textId="77777777" w:rsidR="00CD2E58" w:rsidRPr="00CD2E58" w:rsidRDefault="00CD2E58" w:rsidP="00CD2E58">
      <w:pPr>
        <w:spacing w:after="0"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CD2E58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2</w:t>
      </w:r>
      <w:r w:rsidRPr="00CD2E58">
        <w:rPr>
          <w:rFonts w:ascii="Times New Roman" w:hAnsi="Times New Roman" w:cs="Times New Roman"/>
          <w:sz w:val="20"/>
          <w:szCs w:val="20"/>
          <w:lang w:val="en-US"/>
        </w:rPr>
        <w:t>Department of nephrology, The Shanxi People’s Hospital, Shanxi Medical University, Taiyuan, Shanxi 030001, China</w:t>
      </w:r>
    </w:p>
    <w:p w14:paraId="1F89AA5E" w14:textId="77777777" w:rsidR="00CD2E58" w:rsidRPr="00CD2E58" w:rsidRDefault="00CD2E58" w:rsidP="00CD2E58">
      <w:pPr>
        <w:spacing w:after="0"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CD2E58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3</w:t>
      </w:r>
      <w:r w:rsidRPr="00CD2E58">
        <w:rPr>
          <w:rFonts w:ascii="Times New Roman" w:hAnsi="Times New Roman" w:cs="Times New Roman"/>
          <w:sz w:val="20"/>
          <w:szCs w:val="20"/>
          <w:lang w:val="en-US"/>
        </w:rPr>
        <w:t xml:space="preserve">Department of Laboratory Medicine, </w:t>
      </w:r>
      <w:proofErr w:type="spellStart"/>
      <w:r w:rsidRPr="00CD2E58">
        <w:rPr>
          <w:rFonts w:ascii="Times New Roman" w:hAnsi="Times New Roman" w:cs="Times New Roman"/>
          <w:sz w:val="20"/>
          <w:szCs w:val="20"/>
          <w:lang w:val="en-US"/>
        </w:rPr>
        <w:t>Quzhou</w:t>
      </w:r>
      <w:proofErr w:type="spellEnd"/>
      <w:r w:rsidRPr="00CD2E58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CD2E58">
        <w:rPr>
          <w:rFonts w:ascii="Times New Roman" w:hAnsi="Times New Roman" w:cs="Times New Roman"/>
          <w:sz w:val="20"/>
          <w:szCs w:val="20"/>
          <w:lang w:val="en-US"/>
        </w:rPr>
        <w:t>Kecheng</w:t>
      </w:r>
      <w:proofErr w:type="spellEnd"/>
      <w:r w:rsidRPr="00CD2E58">
        <w:rPr>
          <w:rFonts w:ascii="Times New Roman" w:hAnsi="Times New Roman" w:cs="Times New Roman"/>
          <w:sz w:val="20"/>
          <w:szCs w:val="20"/>
          <w:lang w:val="en-US"/>
        </w:rPr>
        <w:t xml:space="preserve"> People's Hospital, </w:t>
      </w:r>
      <w:proofErr w:type="spellStart"/>
      <w:r w:rsidRPr="00CD2E58">
        <w:rPr>
          <w:rFonts w:ascii="Times New Roman" w:hAnsi="Times New Roman" w:cs="Times New Roman"/>
          <w:sz w:val="20"/>
          <w:szCs w:val="20"/>
          <w:lang w:val="en-US"/>
        </w:rPr>
        <w:t>Quzhou</w:t>
      </w:r>
      <w:proofErr w:type="spellEnd"/>
      <w:r w:rsidRPr="00CD2E58">
        <w:rPr>
          <w:rFonts w:ascii="Times New Roman" w:hAnsi="Times New Roman" w:cs="Times New Roman"/>
          <w:sz w:val="20"/>
          <w:szCs w:val="20"/>
          <w:lang w:val="en-US"/>
        </w:rPr>
        <w:t xml:space="preserve"> 324000, China</w:t>
      </w:r>
    </w:p>
    <w:p w14:paraId="7F5999B5" w14:textId="77777777" w:rsidR="00CD2E58" w:rsidRPr="00CD2E58" w:rsidRDefault="00CD2E58" w:rsidP="00CD2E58">
      <w:pPr>
        <w:spacing w:after="0"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CD2E58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4</w:t>
      </w:r>
      <w:r w:rsidRPr="00CD2E58">
        <w:rPr>
          <w:rFonts w:ascii="Times New Roman" w:hAnsi="Times New Roman" w:cs="Times New Roman"/>
          <w:sz w:val="20"/>
          <w:szCs w:val="20"/>
          <w:lang w:val="en-US"/>
        </w:rPr>
        <w:t xml:space="preserve">Nanjing </w:t>
      </w:r>
      <w:proofErr w:type="spellStart"/>
      <w:r w:rsidRPr="00CD2E58">
        <w:rPr>
          <w:rFonts w:ascii="Times New Roman" w:hAnsi="Times New Roman" w:cs="Times New Roman"/>
          <w:sz w:val="20"/>
          <w:szCs w:val="20"/>
          <w:lang w:val="en-US"/>
        </w:rPr>
        <w:t>Vazyme</w:t>
      </w:r>
      <w:proofErr w:type="spellEnd"/>
      <w:r w:rsidRPr="00CD2E58">
        <w:rPr>
          <w:rFonts w:ascii="Times New Roman" w:hAnsi="Times New Roman" w:cs="Times New Roman"/>
          <w:sz w:val="20"/>
          <w:szCs w:val="20"/>
          <w:lang w:val="en-US"/>
        </w:rPr>
        <w:t xml:space="preserve"> Medical Technology Co. Ltd., Nanjing 210046, China</w:t>
      </w:r>
    </w:p>
    <w:p w14:paraId="2B6AB27C" w14:textId="77777777" w:rsidR="00CD2E58" w:rsidRDefault="00CD2E58" w:rsidP="00CD2E58">
      <w:pPr>
        <w:spacing w:after="0"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CD2E58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5</w:t>
      </w:r>
      <w:r w:rsidRPr="00CD2E58">
        <w:rPr>
          <w:rFonts w:ascii="Times New Roman" w:hAnsi="Times New Roman" w:cs="Times New Roman"/>
          <w:sz w:val="20"/>
          <w:szCs w:val="20"/>
          <w:lang w:val="en-US"/>
        </w:rPr>
        <w:t>Department of Laboratory Medicine, The Affiliated Hospital of Xuzhou Medical University, Xuzhou 221006, China</w:t>
      </w:r>
    </w:p>
    <w:p w14:paraId="374E1118" w14:textId="77777777" w:rsidR="00CD2E58" w:rsidRPr="00CD2E58" w:rsidRDefault="00CD2E58" w:rsidP="00CD2E58">
      <w:pPr>
        <w:spacing w:after="0" w:line="48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14:paraId="48F29B96" w14:textId="77777777" w:rsidR="00CD2E58" w:rsidRDefault="00CD2E58" w:rsidP="00CD2E58">
      <w:pPr>
        <w:spacing w:after="0" w:line="480" w:lineRule="auto"/>
        <w:rPr>
          <w:rFonts w:ascii="Times New Roman" w:hAnsi="Times New Roman" w:cs="Times New Roman"/>
          <w:bCs/>
          <w:sz w:val="20"/>
          <w:szCs w:val="20"/>
          <w:lang w:val="en-US"/>
        </w:rPr>
      </w:pPr>
      <w:r w:rsidRPr="00CD2E58">
        <w:rPr>
          <w:rFonts w:ascii="Times New Roman" w:hAnsi="Times New Roman" w:cs="Times New Roman"/>
          <w:sz w:val="20"/>
          <w:szCs w:val="20"/>
          <w:lang w:val="en-US"/>
        </w:rPr>
        <w:t>*</w:t>
      </w:r>
      <w:r w:rsidRPr="00CD2E58">
        <w:rPr>
          <w:rFonts w:ascii="Times New Roman" w:hAnsi="Times New Roman" w:cs="Times New Roman"/>
          <w:b/>
          <w:sz w:val="20"/>
          <w:szCs w:val="20"/>
          <w:lang w:val="en-US"/>
        </w:rPr>
        <w:t>Correspond</w:t>
      </w:r>
      <w:r>
        <w:rPr>
          <w:rFonts w:ascii="Times New Roman" w:hAnsi="Times New Roman" w:cs="Times New Roman"/>
          <w:b/>
          <w:sz w:val="20"/>
          <w:szCs w:val="20"/>
          <w:lang w:val="en-US"/>
        </w:rPr>
        <w:t>ing authors</w:t>
      </w:r>
    </w:p>
    <w:p w14:paraId="1E47A97A" w14:textId="77777777" w:rsidR="00CD2E58" w:rsidRDefault="00CD2E58" w:rsidP="00CD2E58">
      <w:pPr>
        <w:spacing w:after="0"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CD2E58">
        <w:rPr>
          <w:rFonts w:ascii="Times New Roman" w:hAnsi="Times New Roman" w:cs="Times New Roman"/>
          <w:sz w:val="20"/>
          <w:szCs w:val="20"/>
          <w:lang w:val="en-US"/>
        </w:rPr>
        <w:t>Bing Gu, Medical Technology School of Xuzhou Medical University, Xuzhou Key Laboratory of Laboratory Diagnostics, Xuzhou 221004, China</w:t>
      </w:r>
      <w:r w:rsidRPr="00CD2E58">
        <w:rPr>
          <w:rFonts w:ascii="Times New Roman" w:hAnsi="Times New Roman" w:cs="Times New Roman" w:hint="eastAsia"/>
          <w:sz w:val="20"/>
          <w:szCs w:val="20"/>
          <w:lang w:val="en-US"/>
        </w:rPr>
        <w:t>;</w:t>
      </w:r>
      <w:r w:rsidRPr="00CD2E58">
        <w:rPr>
          <w:rFonts w:ascii="Times New Roman" w:hAnsi="Times New Roman" w:cs="Times New Roman"/>
          <w:sz w:val="20"/>
          <w:szCs w:val="20"/>
          <w:lang w:val="en-US"/>
        </w:rPr>
        <w:t xml:space="preserve"> Department of Laboratory Medicine, Affiliated Hospital of Xuzhou Medical University, Xuzhou 221006, China. E-mail: binggu2015@xzhmu.edu.cn</w:t>
      </w:r>
    </w:p>
    <w:p w14:paraId="3E3D7AF2" w14:textId="77777777" w:rsidR="00CD2E58" w:rsidRPr="00CD2E58" w:rsidRDefault="00CD2E58" w:rsidP="00CD2E58">
      <w:pPr>
        <w:spacing w:after="0" w:line="48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14:paraId="57A276A5" w14:textId="77777777" w:rsidR="00CD2E58" w:rsidRDefault="00CD2E58" w:rsidP="00CD2E58">
      <w:pPr>
        <w:spacing w:after="0"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CD2E58">
        <w:rPr>
          <w:rFonts w:ascii="Times New Roman" w:hAnsi="Times New Roman" w:cs="Times New Roman"/>
          <w:sz w:val="20"/>
          <w:szCs w:val="20"/>
          <w:lang w:val="en-US"/>
        </w:rPr>
        <w:t xml:space="preserve">Bo Tang, Medical Technology School of Xuzhou Medical University, Xuzhou Key Laboratory of Laboratory Diagnostics, Xuzhou 221004, China. Nanjing </w:t>
      </w:r>
      <w:proofErr w:type="spellStart"/>
      <w:r w:rsidRPr="00CD2E58">
        <w:rPr>
          <w:rFonts w:ascii="Times New Roman" w:hAnsi="Times New Roman" w:cs="Times New Roman"/>
          <w:sz w:val="20"/>
          <w:szCs w:val="20"/>
          <w:lang w:val="en-US"/>
        </w:rPr>
        <w:t>Vazyme</w:t>
      </w:r>
      <w:proofErr w:type="spellEnd"/>
      <w:r w:rsidRPr="00CD2E58">
        <w:rPr>
          <w:rFonts w:ascii="Times New Roman" w:hAnsi="Times New Roman" w:cs="Times New Roman"/>
          <w:sz w:val="20"/>
          <w:szCs w:val="20"/>
          <w:lang w:val="en-US"/>
        </w:rPr>
        <w:t xml:space="preserve"> Medical Technology Co. Ltd., Nanjing 210046, China. E-mail: tangbo@vazyme.com</w:t>
      </w:r>
    </w:p>
    <w:p w14:paraId="0EAE84E4" w14:textId="77777777" w:rsidR="00CD2E58" w:rsidRPr="00CD2E58" w:rsidRDefault="00CD2E58" w:rsidP="00CD2E58">
      <w:pPr>
        <w:spacing w:after="0" w:line="48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14:paraId="582CD659" w14:textId="77777777" w:rsidR="00CD2E58" w:rsidRDefault="00CD2E58" w:rsidP="00CD2E58">
      <w:pPr>
        <w:spacing w:after="0"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proofErr w:type="spellStart"/>
      <w:r w:rsidRPr="00CD2E58">
        <w:rPr>
          <w:rFonts w:ascii="Times New Roman" w:hAnsi="Times New Roman" w:cs="Times New Roman"/>
          <w:sz w:val="20"/>
          <w:szCs w:val="20"/>
          <w:lang w:val="en-US"/>
        </w:rPr>
        <w:t>Yafeng</w:t>
      </w:r>
      <w:proofErr w:type="spellEnd"/>
      <w:r w:rsidRPr="00CD2E58">
        <w:rPr>
          <w:rFonts w:ascii="Times New Roman" w:hAnsi="Times New Roman" w:cs="Times New Roman"/>
          <w:sz w:val="20"/>
          <w:szCs w:val="20"/>
          <w:lang w:val="en-US"/>
        </w:rPr>
        <w:t xml:space="preserve"> Li, Department of Nephrology, The Shanxi People’s Hospital, Shanxi Medical University, Taiyuan, Shanxi 030001, China. E-mail: Dr.yafengli@gmail.com</w:t>
      </w:r>
    </w:p>
    <w:p w14:paraId="4B280506" w14:textId="77777777" w:rsidR="00CD2E58" w:rsidRDefault="00CD2E58" w:rsidP="00CD2E58">
      <w:pPr>
        <w:spacing w:after="0" w:line="480" w:lineRule="auto"/>
        <w:rPr>
          <w:rFonts w:ascii="Times New Roman" w:hAnsi="Times New Roman" w:cs="Times New Roman"/>
          <w:sz w:val="20"/>
          <w:szCs w:val="20"/>
          <w:lang w:val="en-US"/>
        </w:rPr>
        <w:sectPr w:rsidR="00CD2E58">
          <w:footerReference w:type="default" r:id="rId7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69BF91E3" w14:textId="77777777" w:rsidR="00E046B1" w:rsidRPr="00E046B1" w:rsidRDefault="00E046B1" w:rsidP="00E046B1">
      <w:pPr>
        <w:spacing w:after="0" w:line="480" w:lineRule="auto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bookmarkStart w:id="2" w:name="_Hlk57463876"/>
      <w:r w:rsidRPr="00E046B1">
        <w:rPr>
          <w:rFonts w:ascii="Times New Roman" w:hAnsi="Times New Roman" w:cs="Times New Roman"/>
          <w:b/>
          <w:sz w:val="20"/>
          <w:szCs w:val="20"/>
          <w:lang w:val="en-US"/>
        </w:rPr>
        <w:lastRenderedPageBreak/>
        <w:t xml:space="preserve">Optimization of </w:t>
      </w:r>
      <w:bookmarkEnd w:id="2"/>
      <w:r w:rsidRPr="00E046B1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the coupling ratio between QDs and </w:t>
      </w:r>
      <w:proofErr w:type="spellStart"/>
      <w:r w:rsidRPr="00E046B1">
        <w:rPr>
          <w:rFonts w:ascii="Times New Roman" w:hAnsi="Times New Roman" w:cs="Times New Roman"/>
          <w:b/>
          <w:bCs/>
          <w:sz w:val="20"/>
          <w:szCs w:val="20"/>
          <w:lang w:val="en-US"/>
        </w:rPr>
        <w:t>mAb</w:t>
      </w:r>
      <w:proofErr w:type="spellEnd"/>
    </w:p>
    <w:p w14:paraId="754CAE11" w14:textId="77777777" w:rsidR="00E046B1" w:rsidRPr="00E046B1" w:rsidRDefault="00E046B1" w:rsidP="00E046B1">
      <w:pPr>
        <w:spacing w:after="0"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E046B1">
        <w:rPr>
          <w:rFonts w:ascii="Times New Roman" w:hAnsi="Times New Roman" w:cs="Times New Roman"/>
          <w:sz w:val="20"/>
          <w:szCs w:val="20"/>
          <w:lang w:val="en-US"/>
        </w:rPr>
        <w:t xml:space="preserve">The QD-ICA test strip prepared previously (see “Fabrication of the QD-based immunochromatography assay”) was used to identify the optimal coupling ratio between hydrophilic QDs and </w:t>
      </w:r>
      <w:proofErr w:type="spellStart"/>
      <w:r w:rsidRPr="00E046B1">
        <w:rPr>
          <w:rFonts w:ascii="Times New Roman" w:hAnsi="Times New Roman" w:cs="Times New Roman"/>
          <w:sz w:val="20"/>
          <w:szCs w:val="20"/>
          <w:lang w:val="en-US"/>
        </w:rPr>
        <w:t>mAb</w:t>
      </w:r>
      <w:proofErr w:type="spellEnd"/>
      <w:r w:rsidRPr="00E046B1">
        <w:rPr>
          <w:rFonts w:ascii="Times New Roman" w:hAnsi="Times New Roman" w:cs="Times New Roman"/>
          <w:sz w:val="20"/>
          <w:szCs w:val="20"/>
          <w:lang w:val="en-US"/>
        </w:rPr>
        <w:t>. Different concentrations of a commercial PLA2R antigen (0.5, 1, and 2 mg/mL) and different coupling ratios of the QD-</w:t>
      </w:r>
      <w:proofErr w:type="spellStart"/>
      <w:r w:rsidRPr="00E046B1">
        <w:rPr>
          <w:rFonts w:ascii="Times New Roman" w:hAnsi="Times New Roman" w:cs="Times New Roman"/>
          <w:sz w:val="20"/>
          <w:szCs w:val="20"/>
          <w:lang w:val="en-US"/>
        </w:rPr>
        <w:t>mAb</w:t>
      </w:r>
      <w:proofErr w:type="spellEnd"/>
      <w:r w:rsidRPr="00E046B1">
        <w:rPr>
          <w:rFonts w:ascii="Times New Roman" w:hAnsi="Times New Roman" w:cs="Times New Roman"/>
          <w:sz w:val="20"/>
          <w:szCs w:val="20"/>
          <w:lang w:val="en-US"/>
        </w:rPr>
        <w:t xml:space="preserve"> conjugate (1:0.1, 1:0.15, 1:0.2, 1:0.25, 1:0.3) were coated on test strips. Standard serum (100 RU/mL; EUROIMMUN) was added and incubated with QD-</w:t>
      </w:r>
      <w:proofErr w:type="spellStart"/>
      <w:r w:rsidRPr="00E046B1">
        <w:rPr>
          <w:rFonts w:ascii="Times New Roman" w:hAnsi="Times New Roman" w:cs="Times New Roman"/>
          <w:sz w:val="20"/>
          <w:szCs w:val="20"/>
          <w:lang w:val="en-US"/>
        </w:rPr>
        <w:t>mAb</w:t>
      </w:r>
      <w:proofErr w:type="spellEnd"/>
      <w:r w:rsidRPr="00E046B1">
        <w:rPr>
          <w:rFonts w:ascii="Times New Roman" w:hAnsi="Times New Roman" w:cs="Times New Roman"/>
          <w:sz w:val="20"/>
          <w:szCs w:val="20"/>
          <w:lang w:val="en-US"/>
        </w:rPr>
        <w:t xml:space="preserve"> conjugates with different coupling ratios for the same time. Under excitation and emission wavelengths of 356 and 615 nm, respectively, the T/C fluorescence of QD-</w:t>
      </w:r>
      <w:proofErr w:type="spellStart"/>
      <w:r w:rsidRPr="00E046B1">
        <w:rPr>
          <w:rFonts w:ascii="Times New Roman" w:hAnsi="Times New Roman" w:cs="Times New Roman"/>
          <w:sz w:val="20"/>
          <w:szCs w:val="20"/>
          <w:lang w:val="en-US"/>
        </w:rPr>
        <w:t>mAb</w:t>
      </w:r>
      <w:proofErr w:type="spellEnd"/>
      <w:r w:rsidRPr="00E046B1">
        <w:rPr>
          <w:rFonts w:ascii="Times New Roman" w:hAnsi="Times New Roman" w:cs="Times New Roman"/>
          <w:sz w:val="20"/>
          <w:szCs w:val="20"/>
          <w:lang w:val="en-US"/>
        </w:rPr>
        <w:t xml:space="preserve"> conjugates with different coupling ratios was measured simultaneously (</w:t>
      </w:r>
      <w:r w:rsidRPr="00E046B1">
        <w:rPr>
          <w:rFonts w:ascii="Times New Roman" w:hAnsi="Times New Roman" w:cs="Times New Roman" w:hint="eastAsia"/>
          <w:sz w:val="20"/>
          <w:szCs w:val="20"/>
          <w:lang w:val="en-US"/>
        </w:rPr>
        <w:t>1</w:t>
      </w:r>
      <w:r w:rsidRPr="00E046B1">
        <w:rPr>
          <w:rFonts w:ascii="Times New Roman" w:hAnsi="Times New Roman" w:cs="Times New Roman"/>
          <w:sz w:val="20"/>
          <w:szCs w:val="20"/>
          <w:lang w:val="en-US"/>
        </w:rPr>
        <w:t>0</w:t>
      </w:r>
      <w:r w:rsidRPr="00E046B1">
        <w:rPr>
          <w:rFonts w:ascii="Times New Roman" w:hAnsi="Times New Roman" w:cs="Times New Roman" w:hint="eastAsia"/>
          <w:sz w:val="20"/>
          <w:szCs w:val="20"/>
          <w:lang w:val="en-US"/>
        </w:rPr>
        <w:t>-20</w:t>
      </w:r>
      <w:r w:rsidRPr="00E046B1">
        <w:rPr>
          <w:rFonts w:ascii="Times New Roman" w:hAnsi="Times New Roman" w:cs="Times New Roman"/>
          <w:sz w:val="20"/>
          <w:szCs w:val="20"/>
          <w:lang w:val="en-US"/>
        </w:rPr>
        <w:t xml:space="preserve"> min).</w:t>
      </w:r>
    </w:p>
    <w:p w14:paraId="19BEC501" w14:textId="77777777" w:rsidR="00E046B1" w:rsidRPr="00E046B1" w:rsidRDefault="00E046B1" w:rsidP="00E046B1">
      <w:pPr>
        <w:spacing w:after="0" w:line="480" w:lineRule="auto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46987089" w14:textId="77777777" w:rsidR="00E046B1" w:rsidRPr="00E046B1" w:rsidRDefault="00E046B1" w:rsidP="00E046B1">
      <w:pPr>
        <w:spacing w:after="0" w:line="480" w:lineRule="auto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 w:rsidRPr="00E046B1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Analytical performance of </w:t>
      </w:r>
      <w:bookmarkStart w:id="3" w:name="_Hlk56846155"/>
      <w:r w:rsidRPr="00E046B1">
        <w:rPr>
          <w:rFonts w:ascii="Times New Roman" w:hAnsi="Times New Roman" w:cs="Times New Roman"/>
          <w:b/>
          <w:bCs/>
          <w:sz w:val="20"/>
          <w:szCs w:val="20"/>
          <w:lang w:val="en-US"/>
        </w:rPr>
        <w:t>QD-ICA</w:t>
      </w:r>
      <w:bookmarkEnd w:id="3"/>
    </w:p>
    <w:p w14:paraId="612201F2" w14:textId="77777777" w:rsidR="00E046B1" w:rsidRPr="00E046B1" w:rsidRDefault="00E046B1" w:rsidP="00E046B1">
      <w:pPr>
        <w:spacing w:after="0"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proofErr w:type="spellStart"/>
      <w:r w:rsidRPr="00E046B1">
        <w:rPr>
          <w:rFonts w:ascii="Times New Roman" w:hAnsi="Times New Roman" w:cs="Times New Roman"/>
          <w:sz w:val="20"/>
          <w:szCs w:val="20"/>
          <w:lang w:val="en-US"/>
        </w:rPr>
        <w:t>LoB</w:t>
      </w:r>
      <w:proofErr w:type="spellEnd"/>
      <w:r w:rsidRPr="00E046B1">
        <w:rPr>
          <w:rFonts w:ascii="Times New Roman" w:hAnsi="Times New Roman" w:cs="Times New Roman"/>
          <w:sz w:val="20"/>
          <w:szCs w:val="20"/>
          <w:lang w:val="en-US"/>
        </w:rPr>
        <w:t xml:space="preserve"> was used to determine the highest concentration of anti-PLA2R antibodies detected from blank samples and </w:t>
      </w:r>
      <w:proofErr w:type="spellStart"/>
      <w:r w:rsidRPr="00E046B1">
        <w:rPr>
          <w:rFonts w:ascii="Times New Roman" w:hAnsi="Times New Roman" w:cs="Times New Roman"/>
          <w:sz w:val="20"/>
          <w:szCs w:val="20"/>
          <w:lang w:val="en-US"/>
        </w:rPr>
        <w:t>LoD</w:t>
      </w:r>
      <w:proofErr w:type="spellEnd"/>
      <w:r w:rsidRPr="00E046B1">
        <w:rPr>
          <w:rFonts w:ascii="Times New Roman" w:hAnsi="Times New Roman" w:cs="Times New Roman"/>
          <w:sz w:val="20"/>
          <w:szCs w:val="20"/>
          <w:lang w:val="en-US"/>
        </w:rPr>
        <w:t xml:space="preserve"> was used to determine the lowest concentration that the method could reliably detect to establish the presence or absence of anti-PLA2R antibodies [1]. </w:t>
      </w:r>
      <w:proofErr w:type="spellStart"/>
      <w:r w:rsidRPr="00E046B1">
        <w:rPr>
          <w:rFonts w:ascii="Times New Roman" w:hAnsi="Times New Roman" w:cs="Times New Roman"/>
          <w:sz w:val="20"/>
          <w:szCs w:val="20"/>
          <w:lang w:val="en-US"/>
        </w:rPr>
        <w:t>LoB</w:t>
      </w:r>
      <w:proofErr w:type="spellEnd"/>
      <w:r w:rsidRPr="00E046B1">
        <w:rPr>
          <w:rFonts w:ascii="Times New Roman" w:hAnsi="Times New Roman" w:cs="Times New Roman"/>
          <w:sz w:val="20"/>
          <w:szCs w:val="20"/>
          <w:lang w:val="en-US"/>
        </w:rPr>
        <w:t xml:space="preserve"> and </w:t>
      </w:r>
      <w:proofErr w:type="spellStart"/>
      <w:r w:rsidRPr="00E046B1">
        <w:rPr>
          <w:rFonts w:ascii="Times New Roman" w:hAnsi="Times New Roman" w:cs="Times New Roman"/>
          <w:sz w:val="20"/>
          <w:szCs w:val="20"/>
          <w:lang w:val="en-US"/>
        </w:rPr>
        <w:t>LoD</w:t>
      </w:r>
      <w:proofErr w:type="spellEnd"/>
      <w:r w:rsidRPr="00E046B1">
        <w:rPr>
          <w:rFonts w:ascii="Times New Roman" w:hAnsi="Times New Roman" w:cs="Times New Roman"/>
          <w:sz w:val="20"/>
          <w:szCs w:val="20"/>
          <w:lang w:val="en-US"/>
        </w:rPr>
        <w:t xml:space="preserve"> was calculated according to the CLSI EP17 document [1]. Physiological saline (blank control) was tested 60 times and the values for anti-PLA2R antibodies were recorded. If the detection values were normally distributed, the </w:t>
      </w:r>
      <w:proofErr w:type="spellStart"/>
      <w:r w:rsidRPr="00E046B1">
        <w:rPr>
          <w:rFonts w:ascii="Times New Roman" w:hAnsi="Times New Roman" w:cs="Times New Roman"/>
          <w:sz w:val="20"/>
          <w:szCs w:val="20"/>
          <w:lang w:val="en-US"/>
        </w:rPr>
        <w:t>LoB</w:t>
      </w:r>
      <w:proofErr w:type="spellEnd"/>
      <w:r w:rsidRPr="00E046B1">
        <w:rPr>
          <w:rFonts w:ascii="Times New Roman" w:hAnsi="Times New Roman" w:cs="Times New Roman"/>
          <w:sz w:val="20"/>
          <w:szCs w:val="20"/>
          <w:lang w:val="en-US"/>
        </w:rPr>
        <w:t xml:space="preserve"> threshold of the anti-PLA2R antibody corresponded to: </w:t>
      </w:r>
    </w:p>
    <w:p w14:paraId="70B19A5F" w14:textId="77777777" w:rsidR="00E046B1" w:rsidRPr="00E046B1" w:rsidRDefault="00E046B1" w:rsidP="00E046B1">
      <w:pPr>
        <w:spacing w:after="0"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proofErr w:type="spellStart"/>
      <w:r w:rsidRPr="00E046B1">
        <w:rPr>
          <w:rFonts w:ascii="Times New Roman" w:hAnsi="Times New Roman" w:cs="Times New Roman"/>
          <w:sz w:val="20"/>
          <w:szCs w:val="20"/>
          <w:lang w:val="en-US"/>
        </w:rPr>
        <w:t>LoB</w:t>
      </w:r>
      <w:proofErr w:type="spellEnd"/>
      <w:r w:rsidRPr="00E046B1">
        <w:rPr>
          <w:rFonts w:ascii="Times New Roman" w:hAnsi="Times New Roman" w:cs="Times New Roman"/>
          <w:sz w:val="20"/>
          <w:szCs w:val="20"/>
          <w:lang w:val="en-US"/>
        </w:rPr>
        <w:t xml:space="preserve"> = µB + 1.645 </w:t>
      </w:r>
      <w:proofErr w:type="spellStart"/>
      <w:r w:rsidRPr="00E046B1">
        <w:rPr>
          <w:rFonts w:ascii="Times New Roman" w:hAnsi="Times New Roman" w:cs="Times New Roman"/>
          <w:sz w:val="20"/>
          <w:szCs w:val="20"/>
          <w:lang w:val="en-US"/>
        </w:rPr>
        <w:t>σB</w:t>
      </w:r>
      <w:proofErr w:type="spellEnd"/>
      <w:r w:rsidRPr="00E046B1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</w:p>
    <w:p w14:paraId="687C1935" w14:textId="77777777" w:rsidR="00E046B1" w:rsidRPr="00E046B1" w:rsidRDefault="00E046B1" w:rsidP="00E046B1">
      <w:pPr>
        <w:spacing w:after="0"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E046B1">
        <w:rPr>
          <w:rFonts w:ascii="Times New Roman" w:hAnsi="Times New Roman" w:cs="Times New Roman"/>
          <w:sz w:val="20"/>
          <w:szCs w:val="20"/>
          <w:lang w:val="en-US"/>
        </w:rPr>
        <w:t xml:space="preserve">where µB is the detection mean of blank control, </w:t>
      </w:r>
      <w:proofErr w:type="spellStart"/>
      <w:r w:rsidRPr="00E046B1">
        <w:rPr>
          <w:rFonts w:ascii="Times New Roman" w:hAnsi="Times New Roman" w:cs="Times New Roman"/>
          <w:sz w:val="20"/>
          <w:szCs w:val="20"/>
          <w:lang w:val="en-US"/>
        </w:rPr>
        <w:t>σB</w:t>
      </w:r>
      <w:proofErr w:type="spellEnd"/>
      <w:r w:rsidRPr="00E046B1">
        <w:rPr>
          <w:rFonts w:ascii="Times New Roman" w:hAnsi="Times New Roman" w:cs="Times New Roman"/>
          <w:sz w:val="20"/>
          <w:szCs w:val="20"/>
          <w:lang w:val="en-US"/>
        </w:rPr>
        <w:t xml:space="preserve"> is the standard deviation (SD) of blank control. </w:t>
      </w:r>
    </w:p>
    <w:p w14:paraId="7BDFF944" w14:textId="77777777" w:rsidR="00E046B1" w:rsidRPr="00E046B1" w:rsidRDefault="00E046B1" w:rsidP="00E046B1">
      <w:pPr>
        <w:spacing w:after="0"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E046B1">
        <w:rPr>
          <w:rFonts w:ascii="Times New Roman" w:hAnsi="Times New Roman" w:cs="Times New Roman"/>
          <w:sz w:val="20"/>
          <w:szCs w:val="20"/>
          <w:lang w:val="en-US"/>
        </w:rPr>
        <w:t xml:space="preserve">If </w:t>
      </w:r>
      <w:bookmarkStart w:id="4" w:name="_Hlk58428002"/>
      <w:r w:rsidRPr="00E046B1">
        <w:rPr>
          <w:rFonts w:ascii="Times New Roman" w:hAnsi="Times New Roman" w:cs="Times New Roman"/>
          <w:sz w:val="20"/>
          <w:szCs w:val="20"/>
          <w:lang w:val="en-US"/>
        </w:rPr>
        <w:t xml:space="preserve">the values showed asymmetric distributions, the </w:t>
      </w:r>
      <w:proofErr w:type="spellStart"/>
      <w:r w:rsidRPr="00E046B1">
        <w:rPr>
          <w:rFonts w:ascii="Times New Roman" w:hAnsi="Times New Roman" w:cs="Times New Roman"/>
          <w:sz w:val="20"/>
          <w:szCs w:val="20"/>
          <w:lang w:val="en-US"/>
        </w:rPr>
        <w:t>LoB</w:t>
      </w:r>
      <w:proofErr w:type="spellEnd"/>
      <w:r w:rsidRPr="00E046B1">
        <w:rPr>
          <w:rFonts w:ascii="Times New Roman" w:hAnsi="Times New Roman" w:cs="Times New Roman"/>
          <w:sz w:val="20"/>
          <w:szCs w:val="20"/>
          <w:lang w:val="en-US"/>
        </w:rPr>
        <w:t xml:space="preserve"> corresponded to the 95</w:t>
      </w:r>
      <w:r w:rsidRPr="00E046B1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th</w:t>
      </w:r>
      <w:r w:rsidRPr="00E046B1">
        <w:rPr>
          <w:rFonts w:ascii="Times New Roman" w:hAnsi="Times New Roman" w:cs="Times New Roman"/>
          <w:sz w:val="20"/>
          <w:szCs w:val="20"/>
          <w:lang w:val="en-US"/>
        </w:rPr>
        <w:t xml:space="preserve"> percentile of the detected data. </w:t>
      </w:r>
      <w:bookmarkEnd w:id="4"/>
      <w:r w:rsidRPr="00E046B1">
        <w:rPr>
          <w:rFonts w:ascii="Times New Roman" w:hAnsi="Times New Roman" w:cs="Times New Roman"/>
          <w:sz w:val="20"/>
          <w:szCs w:val="20"/>
          <w:lang w:val="en-US"/>
        </w:rPr>
        <w:t xml:space="preserve">Three samples containing low levels of anti-PLA2R antibodies were selected and 12 replicates were performed to determine the SD for the </w:t>
      </w:r>
      <w:proofErr w:type="spellStart"/>
      <w:r w:rsidRPr="00E046B1">
        <w:rPr>
          <w:rFonts w:ascii="Times New Roman" w:hAnsi="Times New Roman" w:cs="Times New Roman"/>
          <w:sz w:val="20"/>
          <w:szCs w:val="20"/>
          <w:lang w:val="en-US"/>
        </w:rPr>
        <w:t>LoD</w:t>
      </w:r>
      <w:proofErr w:type="spellEnd"/>
      <w:r w:rsidRPr="00E046B1">
        <w:rPr>
          <w:rFonts w:ascii="Times New Roman" w:hAnsi="Times New Roman" w:cs="Times New Roman"/>
          <w:sz w:val="20"/>
          <w:szCs w:val="20"/>
          <w:lang w:val="en-US"/>
        </w:rPr>
        <w:t xml:space="preserve">. The calculation formula was: </w:t>
      </w:r>
    </w:p>
    <w:p w14:paraId="5A6A9EF0" w14:textId="77777777" w:rsidR="00E046B1" w:rsidRPr="00E046B1" w:rsidRDefault="00E046B1" w:rsidP="00E046B1">
      <w:pPr>
        <w:spacing w:after="0"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proofErr w:type="spellStart"/>
      <w:r w:rsidRPr="00E046B1">
        <w:rPr>
          <w:rFonts w:ascii="Times New Roman" w:hAnsi="Times New Roman" w:cs="Times New Roman"/>
          <w:sz w:val="20"/>
          <w:szCs w:val="20"/>
          <w:lang w:val="en-US"/>
        </w:rPr>
        <w:t>LoD</w:t>
      </w:r>
      <w:proofErr w:type="spellEnd"/>
      <w:r w:rsidRPr="00E046B1">
        <w:rPr>
          <w:rFonts w:ascii="Times New Roman" w:hAnsi="Times New Roman" w:cs="Times New Roman"/>
          <w:sz w:val="20"/>
          <w:szCs w:val="20"/>
          <w:lang w:val="en-US"/>
        </w:rPr>
        <w:t xml:space="preserve"> = </w:t>
      </w:r>
      <w:proofErr w:type="spellStart"/>
      <w:r w:rsidRPr="00E046B1">
        <w:rPr>
          <w:rFonts w:ascii="Times New Roman" w:hAnsi="Times New Roman" w:cs="Times New Roman"/>
          <w:sz w:val="20"/>
          <w:szCs w:val="20"/>
          <w:lang w:val="en-US"/>
        </w:rPr>
        <w:t>LoB</w:t>
      </w:r>
      <w:proofErr w:type="spellEnd"/>
      <w:r w:rsidRPr="00E046B1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bookmarkStart w:id="5" w:name="_Hlk58428296"/>
      <w:r w:rsidRPr="00E046B1">
        <w:rPr>
          <w:rFonts w:ascii="Times New Roman" w:hAnsi="Times New Roman" w:cs="Times New Roman"/>
          <w:sz w:val="20"/>
          <w:szCs w:val="20"/>
          <w:lang w:val="en-US"/>
        </w:rPr>
        <w:t>+ 1.645</w:t>
      </w:r>
      <w:bookmarkEnd w:id="5"/>
      <w:r w:rsidRPr="00E046B1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E046B1">
        <w:rPr>
          <w:rFonts w:ascii="Times New Roman" w:hAnsi="Times New Roman" w:cs="Times New Roman"/>
          <w:sz w:val="20"/>
          <w:szCs w:val="20"/>
          <w:lang w:val="en-US"/>
        </w:rPr>
        <w:t>σs</w:t>
      </w:r>
      <w:proofErr w:type="spellEnd"/>
      <w:r w:rsidRPr="00E046B1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</w:p>
    <w:p w14:paraId="47603321" w14:textId="77777777" w:rsidR="00E046B1" w:rsidRPr="00E046B1" w:rsidRDefault="00E046B1" w:rsidP="00E046B1">
      <w:pPr>
        <w:spacing w:after="0"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E046B1">
        <w:rPr>
          <w:rFonts w:ascii="Times New Roman" w:hAnsi="Times New Roman" w:cs="Times New Roman"/>
          <w:sz w:val="20"/>
          <w:szCs w:val="20"/>
          <w:lang w:val="en-US"/>
        </w:rPr>
        <w:t xml:space="preserve">where </w:t>
      </w:r>
      <w:proofErr w:type="spellStart"/>
      <w:r w:rsidRPr="00E046B1">
        <w:rPr>
          <w:rFonts w:ascii="Times New Roman" w:hAnsi="Times New Roman" w:cs="Times New Roman"/>
          <w:sz w:val="20"/>
          <w:szCs w:val="20"/>
          <w:lang w:val="en-US"/>
        </w:rPr>
        <w:t>σS</w:t>
      </w:r>
      <w:proofErr w:type="spellEnd"/>
      <w:r w:rsidRPr="00E046B1">
        <w:rPr>
          <w:rFonts w:ascii="Times New Roman" w:hAnsi="Times New Roman" w:cs="Times New Roman"/>
          <w:sz w:val="20"/>
          <w:szCs w:val="20"/>
          <w:lang w:val="en-US"/>
        </w:rPr>
        <w:t xml:space="preserve"> is the SD of the low sample measurement population. </w:t>
      </w:r>
    </w:p>
    <w:p w14:paraId="50965FF0" w14:textId="77777777" w:rsidR="00E046B1" w:rsidRPr="00E046B1" w:rsidRDefault="00E046B1" w:rsidP="00E046B1">
      <w:pPr>
        <w:spacing w:after="0" w:line="480" w:lineRule="auto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33EB6A0E" w14:textId="77777777" w:rsidR="00E046B1" w:rsidRPr="00E046B1" w:rsidRDefault="00E046B1" w:rsidP="00E046B1">
      <w:pPr>
        <w:spacing w:after="0" w:line="480" w:lineRule="auto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E046B1">
        <w:rPr>
          <w:rFonts w:ascii="Times New Roman" w:hAnsi="Times New Roman" w:cs="Times New Roman"/>
          <w:b/>
          <w:sz w:val="20"/>
          <w:szCs w:val="20"/>
          <w:lang w:val="en-US"/>
        </w:rPr>
        <w:t>References</w:t>
      </w:r>
    </w:p>
    <w:p w14:paraId="69507C31" w14:textId="689365B4" w:rsidR="00E046B1" w:rsidRPr="00E046B1" w:rsidRDefault="00E046B1" w:rsidP="00E046B1">
      <w:pPr>
        <w:pStyle w:val="ListParagraph"/>
        <w:numPr>
          <w:ilvl w:val="0"/>
          <w:numId w:val="8"/>
        </w:numPr>
        <w:spacing w:line="480" w:lineRule="auto"/>
        <w:rPr>
          <w:rFonts w:ascii="Times New Roman" w:hAnsi="Times New Roman" w:cs="Times New Roman"/>
          <w:sz w:val="20"/>
          <w:szCs w:val="20"/>
        </w:rPr>
      </w:pPr>
      <w:proofErr w:type="spellStart"/>
      <w:r w:rsidRPr="00E046B1">
        <w:rPr>
          <w:rFonts w:ascii="Times New Roman" w:hAnsi="Times New Roman" w:cs="Times New Roman"/>
          <w:sz w:val="20"/>
          <w:szCs w:val="20"/>
        </w:rPr>
        <w:t>Tholen</w:t>
      </w:r>
      <w:proofErr w:type="spellEnd"/>
      <w:r w:rsidRPr="00E046B1">
        <w:rPr>
          <w:rFonts w:ascii="Times New Roman" w:hAnsi="Times New Roman" w:cs="Times New Roman"/>
          <w:sz w:val="20"/>
          <w:szCs w:val="20"/>
        </w:rPr>
        <w:t>, D.W., et al. Protocols for determination of limits of detection and limits of quantitation; approved guideline—second edition. CLSI EP17-A 2004; 24.</w:t>
      </w:r>
    </w:p>
    <w:p w14:paraId="69BCA514" w14:textId="06DC588D" w:rsidR="00CD2E58" w:rsidRPr="00CD2E58" w:rsidRDefault="00CD2E58" w:rsidP="00E046B1">
      <w:pPr>
        <w:spacing w:after="0" w:line="48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sectPr w:rsidR="00CD2E58" w:rsidRPr="00CD2E58" w:rsidSect="00E046B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497441D" w14:textId="77777777" w:rsidR="00500271" w:rsidRDefault="00500271" w:rsidP="00CD2E58">
      <w:pPr>
        <w:spacing w:after="0" w:line="240" w:lineRule="auto"/>
      </w:pPr>
      <w:r>
        <w:separator/>
      </w:r>
    </w:p>
  </w:endnote>
  <w:endnote w:type="continuationSeparator" w:id="0">
    <w:p w14:paraId="1D6C1457" w14:textId="77777777" w:rsidR="00500271" w:rsidRDefault="00500271" w:rsidP="00CD2E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altName w:val="Arial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WarnockPro-Regular">
    <w:altName w:val="Cambria"/>
    <w:panose1 w:val="00000000000000000000"/>
    <w:charset w:val="00"/>
    <w:family w:val="roman"/>
    <w:notTrueType/>
    <w:pitch w:val="default"/>
  </w:font>
  <w:font w:name="WarnockPro-It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??">
    <w:altName w:val="Cambria"/>
    <w:panose1 w:val="00000000000000000000"/>
    <w:charset w:val="00"/>
    <w:family w:val="roman"/>
    <w:notTrueType/>
    <w:pitch w:val="default"/>
  </w:font>
  <w:font w:name="AdvTT5235d5a9+20">
    <w:altName w:val="Cambria"/>
    <w:panose1 w:val="00000000000000000000"/>
    <w:charset w:val="00"/>
    <w:family w:val="roman"/>
    <w:notTrueType/>
    <w:pitch w:val="default"/>
  </w:font>
  <w:font w:name="AdvTT5235d5a9+fb">
    <w:altName w:val="Cambria"/>
    <w:panose1 w:val="00000000000000000000"/>
    <w:charset w:val="00"/>
    <w:family w:val="roman"/>
    <w:notTrueType/>
    <w:pitch w:val="default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815610865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noProof/>
        <w:sz w:val="20"/>
        <w:szCs w:val="20"/>
      </w:rPr>
    </w:sdtEndPr>
    <w:sdtContent>
      <w:p w14:paraId="67CC2728" w14:textId="77777777" w:rsidR="00CD2E58" w:rsidRPr="00CD2E58" w:rsidRDefault="00CD2E58" w:rsidP="00CD2E58">
        <w:pPr>
          <w:pStyle w:val="Footer"/>
          <w:jc w:val="center"/>
          <w:rPr>
            <w:rFonts w:ascii="Times New Roman" w:hAnsi="Times New Roman" w:cs="Times New Roman"/>
            <w:sz w:val="20"/>
            <w:szCs w:val="20"/>
          </w:rPr>
        </w:pPr>
        <w:r w:rsidRPr="00CD2E58">
          <w:rPr>
            <w:rFonts w:ascii="Times New Roman" w:hAnsi="Times New Roman" w:cs="Times New Roman"/>
            <w:sz w:val="20"/>
            <w:szCs w:val="20"/>
          </w:rPr>
          <w:fldChar w:fldCharType="begin"/>
        </w:r>
        <w:r w:rsidRPr="00CD2E58">
          <w:rPr>
            <w:rFonts w:ascii="Times New Roman" w:hAnsi="Times New Roman" w:cs="Times New Roman"/>
            <w:sz w:val="20"/>
            <w:szCs w:val="20"/>
          </w:rPr>
          <w:instrText xml:space="preserve"> PAGE   \* MERGEFORMAT </w:instrText>
        </w:r>
        <w:r w:rsidRPr="00CD2E58">
          <w:rPr>
            <w:rFonts w:ascii="Times New Roman" w:hAnsi="Times New Roman" w:cs="Times New Roman"/>
            <w:sz w:val="20"/>
            <w:szCs w:val="20"/>
          </w:rPr>
          <w:fldChar w:fldCharType="separate"/>
        </w:r>
        <w:r w:rsidRPr="00CD2E58">
          <w:rPr>
            <w:rFonts w:ascii="Times New Roman" w:hAnsi="Times New Roman" w:cs="Times New Roman"/>
            <w:noProof/>
            <w:sz w:val="20"/>
            <w:szCs w:val="20"/>
          </w:rPr>
          <w:t>2</w:t>
        </w:r>
        <w:r w:rsidRPr="00CD2E58">
          <w:rPr>
            <w:rFonts w:ascii="Times New Roman" w:hAnsi="Times New Roman" w:cs="Times New Roman"/>
            <w:noProof/>
            <w:sz w:val="20"/>
            <w:szCs w:val="20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B0448FC" w14:textId="77777777" w:rsidR="00500271" w:rsidRDefault="00500271" w:rsidP="00CD2E58">
      <w:pPr>
        <w:spacing w:after="0" w:line="240" w:lineRule="auto"/>
      </w:pPr>
      <w:r>
        <w:separator/>
      </w:r>
    </w:p>
  </w:footnote>
  <w:footnote w:type="continuationSeparator" w:id="0">
    <w:p w14:paraId="58B5BF9A" w14:textId="77777777" w:rsidR="00500271" w:rsidRDefault="00500271" w:rsidP="00CD2E5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287F7D"/>
    <w:multiLevelType w:val="multilevel"/>
    <w:tmpl w:val="890E4A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A4A3A4F"/>
    <w:multiLevelType w:val="multilevel"/>
    <w:tmpl w:val="51B04B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B4318C5"/>
    <w:multiLevelType w:val="multilevel"/>
    <w:tmpl w:val="C3AC5A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5AB2B9F"/>
    <w:multiLevelType w:val="multilevel"/>
    <w:tmpl w:val="4E3838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A461188"/>
    <w:multiLevelType w:val="hybridMultilevel"/>
    <w:tmpl w:val="697882D0"/>
    <w:lvl w:ilvl="0" w:tplc="87F412E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3EF31A1"/>
    <w:multiLevelType w:val="multilevel"/>
    <w:tmpl w:val="35F8F9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A552E14"/>
    <w:multiLevelType w:val="hybridMultilevel"/>
    <w:tmpl w:val="CF66349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9B02EED"/>
    <w:multiLevelType w:val="hybridMultilevel"/>
    <w:tmpl w:val="D48A5DB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5"/>
  </w:num>
  <w:num w:numId="4">
    <w:abstractNumId w:val="3"/>
  </w:num>
  <w:num w:numId="5">
    <w:abstractNumId w:val="2"/>
  </w:num>
  <w:num w:numId="6">
    <w:abstractNumId w:val="6"/>
  </w:num>
  <w:num w:numId="7">
    <w:abstractNumId w:val="4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2E58"/>
    <w:rsid w:val="00143811"/>
    <w:rsid w:val="004A01F5"/>
    <w:rsid w:val="00500271"/>
    <w:rsid w:val="007F6714"/>
    <w:rsid w:val="00B55FE8"/>
    <w:rsid w:val="00CD2E58"/>
    <w:rsid w:val="00D35942"/>
    <w:rsid w:val="00E046B1"/>
    <w:rsid w:val="00E552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96BAC8"/>
  <w15:chartTrackingRefBased/>
  <w15:docId w15:val="{88ED276D-D316-46A8-B291-86F4393E52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D2E58"/>
    <w:pPr>
      <w:keepNext/>
      <w:keepLines/>
      <w:widowControl w:val="0"/>
      <w:spacing w:before="480" w:after="120" w:line="240" w:lineRule="auto"/>
      <w:jc w:val="both"/>
      <w:outlineLvl w:val="0"/>
    </w:pPr>
    <w:rPr>
      <w:rFonts w:ascii="DengXian" w:eastAsia="DengXian" w:hAnsi="DengXian" w:cs="DengXian"/>
      <w:b/>
      <w:sz w:val="48"/>
      <w:szCs w:val="48"/>
      <w:lang w:val="en-US" w:eastAsia="ja-JP" w:bidi="he-I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D2E58"/>
    <w:pPr>
      <w:keepNext/>
      <w:keepLines/>
      <w:widowControl w:val="0"/>
      <w:spacing w:before="360" w:after="80" w:line="240" w:lineRule="auto"/>
      <w:jc w:val="both"/>
      <w:outlineLvl w:val="1"/>
    </w:pPr>
    <w:rPr>
      <w:rFonts w:ascii="DengXian" w:eastAsia="DengXian" w:hAnsi="DengXian" w:cs="DengXian"/>
      <w:b/>
      <w:sz w:val="36"/>
      <w:szCs w:val="36"/>
      <w:lang w:val="en-US" w:eastAsia="ja-JP" w:bidi="he-I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D2E58"/>
    <w:pPr>
      <w:keepNext/>
      <w:keepLines/>
      <w:widowControl w:val="0"/>
      <w:spacing w:before="280" w:after="80" w:line="240" w:lineRule="auto"/>
      <w:jc w:val="both"/>
      <w:outlineLvl w:val="2"/>
    </w:pPr>
    <w:rPr>
      <w:rFonts w:ascii="DengXian" w:eastAsia="DengXian" w:hAnsi="DengXian" w:cs="DengXian"/>
      <w:b/>
      <w:sz w:val="28"/>
      <w:szCs w:val="28"/>
      <w:lang w:val="en-US" w:eastAsia="ja-JP" w:bidi="he-I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D2E58"/>
    <w:pPr>
      <w:keepNext/>
      <w:keepLines/>
      <w:widowControl w:val="0"/>
      <w:spacing w:before="240" w:after="40" w:line="240" w:lineRule="auto"/>
      <w:jc w:val="both"/>
      <w:outlineLvl w:val="3"/>
    </w:pPr>
    <w:rPr>
      <w:rFonts w:ascii="DengXian" w:eastAsia="DengXian" w:hAnsi="DengXian" w:cs="DengXian"/>
      <w:b/>
      <w:sz w:val="24"/>
      <w:szCs w:val="24"/>
      <w:lang w:val="en-US" w:eastAsia="ja-JP" w:bidi="he-I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D2E58"/>
    <w:pPr>
      <w:keepNext/>
      <w:keepLines/>
      <w:widowControl w:val="0"/>
      <w:spacing w:before="220" w:after="40" w:line="240" w:lineRule="auto"/>
      <w:jc w:val="both"/>
      <w:outlineLvl w:val="4"/>
    </w:pPr>
    <w:rPr>
      <w:rFonts w:ascii="DengXian" w:eastAsia="DengXian" w:hAnsi="DengXian" w:cs="DengXian"/>
      <w:b/>
      <w:lang w:val="en-US" w:eastAsia="ja-JP" w:bidi="he-I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D2E58"/>
    <w:pPr>
      <w:keepNext/>
      <w:keepLines/>
      <w:widowControl w:val="0"/>
      <w:spacing w:before="200" w:after="40" w:line="240" w:lineRule="auto"/>
      <w:jc w:val="both"/>
      <w:outlineLvl w:val="5"/>
    </w:pPr>
    <w:rPr>
      <w:rFonts w:ascii="DengXian" w:eastAsia="DengXian" w:hAnsi="DengXian" w:cs="DengXian"/>
      <w:b/>
      <w:sz w:val="20"/>
      <w:szCs w:val="20"/>
      <w:lang w:val="en-US" w:eastAsia="ja-JP" w:bidi="he-IL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D2E5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D2E5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CD2E5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D2E58"/>
  </w:style>
  <w:style w:type="paragraph" w:styleId="Footer">
    <w:name w:val="footer"/>
    <w:basedOn w:val="Normal"/>
    <w:link w:val="FooterChar"/>
    <w:uiPriority w:val="99"/>
    <w:unhideWhenUsed/>
    <w:rsid w:val="00CD2E5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D2E58"/>
  </w:style>
  <w:style w:type="character" w:styleId="Hyperlink">
    <w:name w:val="Hyperlink"/>
    <w:basedOn w:val="DefaultParagraphFont"/>
    <w:uiPriority w:val="99"/>
    <w:unhideWhenUsed/>
    <w:rsid w:val="00CD2E5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D2E58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CD2E58"/>
    <w:rPr>
      <w:rFonts w:ascii="DengXian" w:eastAsia="DengXian" w:hAnsi="DengXian" w:cs="DengXian"/>
      <w:b/>
      <w:sz w:val="48"/>
      <w:szCs w:val="48"/>
      <w:lang w:val="en-US" w:eastAsia="ja-JP" w:bidi="he-IL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D2E58"/>
    <w:rPr>
      <w:rFonts w:ascii="DengXian" w:eastAsia="DengXian" w:hAnsi="DengXian" w:cs="DengXian"/>
      <w:b/>
      <w:sz w:val="36"/>
      <w:szCs w:val="36"/>
      <w:lang w:val="en-US" w:eastAsia="ja-JP" w:bidi="he-IL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D2E58"/>
    <w:rPr>
      <w:rFonts w:ascii="DengXian" w:eastAsia="DengXian" w:hAnsi="DengXian" w:cs="DengXian"/>
      <w:b/>
      <w:sz w:val="28"/>
      <w:szCs w:val="28"/>
      <w:lang w:val="en-US" w:eastAsia="ja-JP" w:bidi="he-IL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D2E58"/>
    <w:rPr>
      <w:rFonts w:ascii="DengXian" w:eastAsia="DengXian" w:hAnsi="DengXian" w:cs="DengXian"/>
      <w:b/>
      <w:sz w:val="24"/>
      <w:szCs w:val="24"/>
      <w:lang w:val="en-US" w:eastAsia="ja-JP" w:bidi="he-IL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D2E58"/>
    <w:rPr>
      <w:rFonts w:ascii="DengXian" w:eastAsia="DengXian" w:hAnsi="DengXian" w:cs="DengXian"/>
      <w:b/>
      <w:lang w:val="en-US" w:eastAsia="ja-JP" w:bidi="he-IL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D2E58"/>
    <w:rPr>
      <w:rFonts w:ascii="DengXian" w:eastAsia="DengXian" w:hAnsi="DengXian" w:cs="DengXian"/>
      <w:b/>
      <w:sz w:val="20"/>
      <w:szCs w:val="20"/>
      <w:lang w:val="en-US" w:eastAsia="ja-JP" w:bidi="he-IL"/>
    </w:rPr>
  </w:style>
  <w:style w:type="character" w:customStyle="1" w:styleId="fontstyle01">
    <w:name w:val="fontstyle01"/>
    <w:basedOn w:val="DefaultParagraphFont"/>
    <w:rsid w:val="00CD2E58"/>
    <w:rPr>
      <w:rFonts w:ascii="WarnockPro-Regular" w:hAnsi="WarnockPro-Regular" w:cs="Times New Roman"/>
      <w:color w:val="000000"/>
      <w:sz w:val="20"/>
      <w:szCs w:val="20"/>
    </w:rPr>
  </w:style>
  <w:style w:type="character" w:customStyle="1" w:styleId="fontstyle21">
    <w:name w:val="fontstyle21"/>
    <w:basedOn w:val="DefaultParagraphFont"/>
    <w:rsid w:val="00CD2E58"/>
    <w:rPr>
      <w:rFonts w:ascii="WarnockPro-It" w:hAnsi="WarnockPro-It" w:cs="Times New Roman"/>
      <w:i/>
      <w:iCs/>
      <w:color w:val="000000"/>
      <w:sz w:val="20"/>
      <w:szCs w:val="20"/>
    </w:rPr>
  </w:style>
  <w:style w:type="character" w:customStyle="1" w:styleId="fontstyle11">
    <w:name w:val="fontstyle11"/>
    <w:basedOn w:val="DefaultParagraphFont"/>
    <w:rsid w:val="00CD2E58"/>
    <w:rPr>
      <w:rFonts w:ascii="Times New Roman" w:hAnsi="Times New Roman" w:cs="Times New Roman"/>
      <w:color w:val="000000"/>
      <w:sz w:val="22"/>
      <w:szCs w:val="22"/>
    </w:rPr>
  </w:style>
  <w:style w:type="character" w:customStyle="1" w:styleId="fontstyle31">
    <w:name w:val="fontstyle31"/>
    <w:basedOn w:val="DefaultParagraphFont"/>
    <w:rsid w:val="00CD2E58"/>
    <w:rPr>
      <w:rFonts w:ascii="Arial" w:hAnsi="Arial" w:cs="Arial"/>
      <w:color w:val="000000"/>
      <w:sz w:val="22"/>
      <w:szCs w:val="22"/>
    </w:rPr>
  </w:style>
  <w:style w:type="paragraph" w:customStyle="1" w:styleId="EndNoteBibliographyTitle">
    <w:name w:val="EndNote Bibliography Title"/>
    <w:basedOn w:val="Normal"/>
    <w:link w:val="EndNoteBibliographyTitle0"/>
    <w:rsid w:val="00CD2E58"/>
    <w:pPr>
      <w:widowControl w:val="0"/>
      <w:spacing w:after="0" w:line="240" w:lineRule="auto"/>
      <w:jc w:val="center"/>
    </w:pPr>
    <w:rPr>
      <w:rFonts w:ascii="??" w:eastAsia="DengXian" w:hAnsi="??" w:cs="DengXian"/>
      <w:noProof/>
      <w:sz w:val="20"/>
      <w:szCs w:val="21"/>
      <w:lang w:val="en-US" w:eastAsia="ja-JP" w:bidi="he-IL"/>
    </w:rPr>
  </w:style>
  <w:style w:type="character" w:customStyle="1" w:styleId="EndNoteBibliographyTitle0">
    <w:name w:val="EndNote Bibliography Title 字符"/>
    <w:basedOn w:val="DefaultParagraphFont"/>
    <w:link w:val="EndNoteBibliographyTitle"/>
    <w:locked/>
    <w:rsid w:val="00CD2E58"/>
    <w:rPr>
      <w:rFonts w:ascii="??" w:eastAsia="DengXian" w:hAnsi="??" w:cs="DengXian"/>
      <w:noProof/>
      <w:sz w:val="20"/>
      <w:szCs w:val="21"/>
      <w:lang w:val="en-US" w:eastAsia="ja-JP" w:bidi="he-IL"/>
    </w:rPr>
  </w:style>
  <w:style w:type="paragraph" w:customStyle="1" w:styleId="EndNoteBibliography">
    <w:name w:val="EndNote Bibliography"/>
    <w:basedOn w:val="Normal"/>
    <w:link w:val="EndNoteBibliography0"/>
    <w:rsid w:val="00CD2E58"/>
    <w:pPr>
      <w:widowControl w:val="0"/>
      <w:spacing w:after="0" w:line="240" w:lineRule="auto"/>
      <w:jc w:val="both"/>
    </w:pPr>
    <w:rPr>
      <w:rFonts w:ascii="??" w:eastAsia="DengXian" w:hAnsi="??" w:cs="Times New Roman"/>
      <w:noProof/>
      <w:kern w:val="2"/>
      <w:sz w:val="20"/>
      <w:lang w:val="en-US" w:eastAsia="zh-CN"/>
    </w:rPr>
  </w:style>
  <w:style w:type="character" w:customStyle="1" w:styleId="EndNoteBibliography0">
    <w:name w:val="EndNote Bibliography 字符"/>
    <w:basedOn w:val="DefaultParagraphFont"/>
    <w:link w:val="EndNoteBibliography"/>
    <w:locked/>
    <w:rsid w:val="00CD2E58"/>
    <w:rPr>
      <w:rFonts w:ascii="??" w:eastAsia="DengXian" w:hAnsi="??" w:cs="Times New Roman"/>
      <w:noProof/>
      <w:kern w:val="2"/>
      <w:sz w:val="20"/>
      <w:lang w:val="en-US" w:eastAsia="zh-CN"/>
    </w:rPr>
  </w:style>
  <w:style w:type="character" w:customStyle="1" w:styleId="apple-converted-space">
    <w:name w:val="apple-converted-space"/>
    <w:basedOn w:val="DefaultParagraphFont"/>
    <w:rsid w:val="00CD2E58"/>
    <w:rPr>
      <w:rFonts w:cs="Times New Roman"/>
    </w:rPr>
  </w:style>
  <w:style w:type="character" w:customStyle="1" w:styleId="fontstyle41">
    <w:name w:val="fontstyle41"/>
    <w:basedOn w:val="DefaultParagraphFont"/>
    <w:rsid w:val="00CD2E58"/>
    <w:rPr>
      <w:rFonts w:ascii="AdvTT5235d5a9+20" w:hAnsi="AdvTT5235d5a9+20" w:cs="Times New Roman"/>
      <w:color w:val="242021"/>
      <w:sz w:val="16"/>
      <w:szCs w:val="16"/>
    </w:rPr>
  </w:style>
  <w:style w:type="character" w:customStyle="1" w:styleId="fontstyle51">
    <w:name w:val="fontstyle51"/>
    <w:basedOn w:val="DefaultParagraphFont"/>
    <w:rsid w:val="00CD2E58"/>
    <w:rPr>
      <w:rFonts w:ascii="AdvTT5235d5a9+fb" w:hAnsi="AdvTT5235d5a9+fb" w:cs="Times New Roman"/>
      <w:color w:val="242021"/>
      <w:sz w:val="16"/>
      <w:szCs w:val="16"/>
    </w:rPr>
  </w:style>
  <w:style w:type="character" w:styleId="Emphasis">
    <w:name w:val="Emphasis"/>
    <w:basedOn w:val="DefaultParagraphFont"/>
    <w:uiPriority w:val="20"/>
    <w:qFormat/>
    <w:rsid w:val="00CD2E58"/>
    <w:rPr>
      <w:rFonts w:cs="Times New Roman"/>
      <w:i/>
      <w:iCs/>
    </w:rPr>
  </w:style>
  <w:style w:type="table" w:styleId="TableGrid">
    <w:name w:val="Table Grid"/>
    <w:basedOn w:val="TableNormal"/>
    <w:uiPriority w:val="39"/>
    <w:rsid w:val="00CD2E58"/>
    <w:pPr>
      <w:spacing w:after="0" w:line="240" w:lineRule="auto"/>
    </w:pPr>
    <w:rPr>
      <w:rFonts w:eastAsiaTheme="minorEastAsia" w:cs="Times New Roman"/>
      <w:kern w:val="2"/>
      <w:sz w:val="21"/>
      <w:lang w:val="en-US"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STextZchn">
    <w:name w:val="MS Text Zchn"/>
    <w:basedOn w:val="DefaultParagraphFont"/>
    <w:link w:val="MSText"/>
    <w:locked/>
    <w:rsid w:val="00CD2E58"/>
    <w:rPr>
      <w:rFonts w:ascii="Arial" w:hAnsi="Arial" w:cs="Arial"/>
      <w:sz w:val="24"/>
      <w:szCs w:val="24"/>
    </w:rPr>
  </w:style>
  <w:style w:type="paragraph" w:customStyle="1" w:styleId="MSText">
    <w:name w:val="MS Text"/>
    <w:basedOn w:val="Normal"/>
    <w:link w:val="MSTextZchn"/>
    <w:qFormat/>
    <w:rsid w:val="00CD2E58"/>
    <w:pPr>
      <w:spacing w:after="0" w:line="480" w:lineRule="auto"/>
      <w:jc w:val="both"/>
    </w:pPr>
    <w:rPr>
      <w:rFonts w:ascii="Arial" w:hAnsi="Arial" w:cs="Arial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CD2E58"/>
    <w:pPr>
      <w:spacing w:before="100" w:beforeAutospacing="1" w:after="100" w:afterAutospacing="1" w:line="240" w:lineRule="auto"/>
    </w:pPr>
    <w:rPr>
      <w:rFonts w:ascii="SimSun" w:eastAsia="SimSun" w:hAnsi="SimSun" w:cs="SimSun"/>
      <w:sz w:val="24"/>
      <w:szCs w:val="24"/>
      <w:lang w:val="en-US" w:eastAsia="ja-JP" w:bidi="he-IL"/>
    </w:rPr>
  </w:style>
  <w:style w:type="paragraph" w:customStyle="1" w:styleId="src">
    <w:name w:val="src"/>
    <w:basedOn w:val="Normal"/>
    <w:rsid w:val="00CD2E58"/>
    <w:pPr>
      <w:spacing w:before="100" w:beforeAutospacing="1" w:after="100" w:afterAutospacing="1" w:line="240" w:lineRule="auto"/>
    </w:pPr>
    <w:rPr>
      <w:rFonts w:ascii="SimSun" w:eastAsia="SimSun" w:hAnsi="SimSun" w:cs="SimSun"/>
      <w:sz w:val="24"/>
      <w:szCs w:val="24"/>
      <w:lang w:val="en-US" w:eastAsia="ja-JP" w:bidi="he-IL"/>
    </w:rPr>
  </w:style>
  <w:style w:type="character" w:styleId="CommentReference">
    <w:name w:val="annotation reference"/>
    <w:basedOn w:val="DefaultParagraphFont"/>
    <w:uiPriority w:val="99"/>
    <w:semiHidden/>
    <w:unhideWhenUsed/>
    <w:rsid w:val="00CD2E58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D2E58"/>
    <w:pPr>
      <w:widowControl w:val="0"/>
      <w:spacing w:after="0" w:line="240" w:lineRule="auto"/>
      <w:jc w:val="both"/>
    </w:pPr>
    <w:rPr>
      <w:rFonts w:ascii="DengXian" w:eastAsia="DengXian" w:hAnsi="DengXian" w:cs="DengXian"/>
      <w:sz w:val="20"/>
      <w:szCs w:val="20"/>
      <w:lang w:val="en-US" w:eastAsia="ja-JP" w:bidi="he-IL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D2E58"/>
    <w:rPr>
      <w:rFonts w:ascii="DengXian" w:eastAsia="DengXian" w:hAnsi="DengXian" w:cs="DengXian"/>
      <w:sz w:val="20"/>
      <w:szCs w:val="20"/>
      <w:lang w:val="en-US" w:eastAsia="ja-JP" w:bidi="he-IL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D2E5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D2E58"/>
    <w:rPr>
      <w:rFonts w:ascii="DengXian" w:eastAsia="DengXian" w:hAnsi="DengXian" w:cs="DengXian"/>
      <w:b/>
      <w:bCs/>
      <w:sz w:val="20"/>
      <w:szCs w:val="20"/>
      <w:lang w:val="en-US" w:eastAsia="ja-JP" w:bidi="he-IL"/>
    </w:rPr>
  </w:style>
  <w:style w:type="paragraph" w:styleId="Revision">
    <w:name w:val="Revision"/>
    <w:hidden/>
    <w:uiPriority w:val="99"/>
    <w:semiHidden/>
    <w:rsid w:val="00CD2E58"/>
    <w:pPr>
      <w:spacing w:after="0" w:line="240" w:lineRule="auto"/>
    </w:pPr>
    <w:rPr>
      <w:rFonts w:ascii="DengXian" w:eastAsia="DengXian" w:hAnsi="DengXian" w:cs="DengXian"/>
      <w:sz w:val="21"/>
      <w:szCs w:val="21"/>
      <w:lang w:val="en-US" w:eastAsia="ja-JP" w:bidi="he-IL"/>
    </w:rPr>
  </w:style>
  <w:style w:type="character" w:customStyle="1" w:styleId="jlqj4b">
    <w:name w:val="jlqj4b"/>
    <w:basedOn w:val="DefaultParagraphFont"/>
    <w:rsid w:val="00CD2E58"/>
    <w:rPr>
      <w:rFonts w:cs="Times New Roman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D2E58"/>
    <w:rPr>
      <w:rFonts w:cs="Times New Roman"/>
      <w:color w:val="605E5C"/>
      <w:shd w:val="clear" w:color="auto" w:fill="E1DFDD"/>
    </w:rPr>
  </w:style>
  <w:style w:type="paragraph" w:styleId="Title">
    <w:name w:val="Title"/>
    <w:basedOn w:val="Normal"/>
    <w:next w:val="Normal"/>
    <w:link w:val="TitleChar"/>
    <w:uiPriority w:val="10"/>
    <w:qFormat/>
    <w:rsid w:val="00CD2E58"/>
    <w:pPr>
      <w:keepNext/>
      <w:keepLines/>
      <w:widowControl w:val="0"/>
      <w:spacing w:before="480" w:after="120" w:line="240" w:lineRule="auto"/>
      <w:jc w:val="both"/>
    </w:pPr>
    <w:rPr>
      <w:rFonts w:ascii="DengXian" w:eastAsia="DengXian" w:hAnsi="DengXian" w:cs="DengXian"/>
      <w:b/>
      <w:sz w:val="72"/>
      <w:szCs w:val="72"/>
      <w:lang w:val="en-US" w:eastAsia="ja-JP" w:bidi="he-IL"/>
    </w:rPr>
  </w:style>
  <w:style w:type="character" w:customStyle="1" w:styleId="TitleChar">
    <w:name w:val="Title Char"/>
    <w:basedOn w:val="DefaultParagraphFont"/>
    <w:link w:val="Title"/>
    <w:uiPriority w:val="10"/>
    <w:rsid w:val="00CD2E58"/>
    <w:rPr>
      <w:rFonts w:ascii="DengXian" w:eastAsia="DengXian" w:hAnsi="DengXian" w:cs="DengXian"/>
      <w:b/>
      <w:sz w:val="72"/>
      <w:szCs w:val="72"/>
      <w:lang w:val="en-US" w:eastAsia="ja-JP" w:bidi="he-IL"/>
    </w:rPr>
  </w:style>
  <w:style w:type="paragraph" w:styleId="Subtitle">
    <w:name w:val="Subtitle"/>
    <w:basedOn w:val="Normal"/>
    <w:next w:val="Normal"/>
    <w:link w:val="SubtitleChar"/>
    <w:uiPriority w:val="11"/>
    <w:qFormat/>
    <w:rsid w:val="00CD2E58"/>
    <w:pPr>
      <w:keepNext/>
      <w:keepLines/>
      <w:widowControl w:val="0"/>
      <w:spacing w:before="360" w:after="80" w:line="240" w:lineRule="auto"/>
      <w:jc w:val="both"/>
    </w:pPr>
    <w:rPr>
      <w:rFonts w:ascii="Georgia" w:eastAsiaTheme="minorEastAsia" w:hAnsi="Georgia" w:cs="Georgia"/>
      <w:i/>
      <w:color w:val="666666"/>
      <w:sz w:val="48"/>
      <w:szCs w:val="48"/>
      <w:lang w:val="en-US" w:eastAsia="ja-JP" w:bidi="he-IL"/>
    </w:rPr>
  </w:style>
  <w:style w:type="character" w:customStyle="1" w:styleId="SubtitleChar">
    <w:name w:val="Subtitle Char"/>
    <w:basedOn w:val="DefaultParagraphFont"/>
    <w:link w:val="Subtitle"/>
    <w:uiPriority w:val="11"/>
    <w:rsid w:val="00CD2E58"/>
    <w:rPr>
      <w:rFonts w:ascii="Georgia" w:eastAsiaTheme="minorEastAsia" w:hAnsi="Georgia" w:cs="Georgia"/>
      <w:i/>
      <w:color w:val="666666"/>
      <w:sz w:val="48"/>
      <w:szCs w:val="48"/>
      <w:lang w:val="en-US" w:eastAsia="ja-JP" w:bidi="he-IL"/>
    </w:rPr>
  </w:style>
  <w:style w:type="character" w:customStyle="1" w:styleId="material-icons-extended">
    <w:name w:val="material-icons-extended"/>
    <w:basedOn w:val="DefaultParagraphFont"/>
    <w:rsid w:val="00CD2E58"/>
  </w:style>
  <w:style w:type="paragraph" w:styleId="ListParagraph">
    <w:name w:val="List Paragraph"/>
    <w:basedOn w:val="Normal"/>
    <w:uiPriority w:val="34"/>
    <w:qFormat/>
    <w:rsid w:val="00CD2E58"/>
    <w:pPr>
      <w:widowControl w:val="0"/>
      <w:spacing w:after="0" w:line="240" w:lineRule="auto"/>
      <w:ind w:left="720"/>
      <w:contextualSpacing/>
      <w:jc w:val="both"/>
    </w:pPr>
    <w:rPr>
      <w:rFonts w:ascii="DengXian" w:eastAsia="DengXian" w:hAnsi="DengXian" w:cs="DengXian"/>
      <w:sz w:val="21"/>
      <w:szCs w:val="21"/>
      <w:lang w:val="en-US" w:eastAsia="ja-JP" w:bidi="he-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523</Words>
  <Characters>2986</Characters>
  <Application>Microsoft Office Word</Application>
  <DocSecurity>0</DocSecurity>
  <Lines>24</Lines>
  <Paragraphs>7</Paragraphs>
  <ScaleCrop>false</ScaleCrop>
  <Company/>
  <LinksUpToDate>false</LinksUpToDate>
  <CharactersWithSpaces>3502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Author</cp:lastModifiedBy>
  <cp:revision>1</cp:revision>
  <dcterms:created xsi:type="dcterms:W3CDTF">2020-12-23T13:43:00Z</dcterms:created>
  <dcterms:modified xsi:type="dcterms:W3CDTF">2020-12-23T13:46:00Z</dcterms:modified>
</cp:coreProperties>
</file>