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59257" w14:textId="27A64682" w:rsidR="00D27BDF" w:rsidRPr="00A6027C" w:rsidRDefault="00D34BD8" w:rsidP="001E22D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27C">
        <w:rPr>
          <w:rFonts w:ascii="Times New Roman" w:hAnsi="Times New Roman" w:cs="Times New Roman"/>
          <w:b/>
          <w:bCs/>
          <w:sz w:val="24"/>
          <w:szCs w:val="24"/>
        </w:rPr>
        <w:t>Additional file 1</w:t>
      </w:r>
    </w:p>
    <w:p w14:paraId="46BFE00A" w14:textId="28E23F85" w:rsidR="00C87124" w:rsidRPr="00A6027C" w:rsidRDefault="00D34BD8" w:rsidP="001E22D9">
      <w:pPr>
        <w:spacing w:line="276" w:lineRule="auto"/>
      </w:pPr>
      <w:r w:rsidRPr="00A6027C">
        <w:rPr>
          <w:noProof/>
        </w:rPr>
        <w:drawing>
          <wp:inline distT="0" distB="0" distL="0" distR="0" wp14:anchorId="04BDA565" wp14:editId="7A7EB63B">
            <wp:extent cx="5274310" cy="1620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191A" w14:textId="3C3FDB78" w:rsidR="00D92B27" w:rsidRPr="00A6027C" w:rsidRDefault="007351AD" w:rsidP="00372D1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S1: Support for three enterotypes in older persons.</w:t>
      </w:r>
      <w:r w:rsidR="00D34BD8" w:rsidRPr="00A6027C">
        <w:rPr>
          <w:rFonts w:ascii="Times New Roman" w:hAnsi="Times New Roman" w:cs="Times New Roman"/>
          <w:sz w:val="20"/>
          <w:szCs w:val="20"/>
        </w:rPr>
        <w:t xml:space="preserve"> The Calinski–Harabasz (CH) index was calculated for each set of clusters generated by PAM clustering. The CH index was maximized when gut microbial communities were assigned to three enterotypes</w:t>
      </w:r>
      <w:r w:rsidRPr="00A6027C">
        <w:rPr>
          <w:rFonts w:ascii="Times New Roman" w:eastAsia="等线" w:hAnsi="Times New Roman" w:cs="Times New Roman"/>
          <w:sz w:val="20"/>
          <w:szCs w:val="20"/>
        </w:rPr>
        <w:t>.</w:t>
      </w:r>
      <w:r w:rsidR="00D34BD8" w:rsidRPr="00A6027C">
        <w:rPr>
          <w:rFonts w:ascii="Times New Roman" w:hAnsi="Times New Roman" w:cs="Times New Roman"/>
          <w:sz w:val="20"/>
          <w:szCs w:val="20"/>
        </w:rPr>
        <w:t xml:space="preserve"> Principal </w:t>
      </w:r>
      <w:r w:rsidRPr="00A6027C">
        <w:rPr>
          <w:rFonts w:ascii="Times New Roman" w:eastAsia="等线" w:hAnsi="Times New Roman" w:cs="Times New Roman"/>
          <w:sz w:val="20"/>
          <w:szCs w:val="20"/>
        </w:rPr>
        <w:t>coordinate analysis</w:t>
      </w:r>
      <w:r w:rsidR="00D34BD8" w:rsidRPr="00A6027C">
        <w:rPr>
          <w:rFonts w:ascii="Times New Roman" w:hAnsi="Times New Roman" w:cs="Times New Roman"/>
          <w:sz w:val="20"/>
          <w:szCs w:val="20"/>
        </w:rPr>
        <w:t xml:space="preserve"> (PCoA) based on Bray–Curtis dissimilarity metrics </w:t>
      </w:r>
      <w:r w:rsidRPr="00A6027C">
        <w:rPr>
          <w:rFonts w:ascii="Times New Roman" w:eastAsia="等线" w:hAnsi="Times New Roman" w:cs="Times New Roman"/>
          <w:sz w:val="20"/>
          <w:szCs w:val="20"/>
        </w:rPr>
        <w:t>showed clustering</w:t>
      </w:r>
      <w:r w:rsidR="00D34BD8" w:rsidRPr="00A6027C">
        <w:rPr>
          <w:rFonts w:ascii="Times New Roman" w:hAnsi="Times New Roman" w:cs="Times New Roman"/>
          <w:sz w:val="20"/>
          <w:szCs w:val="20"/>
        </w:rPr>
        <w:t xml:space="preserve"> of samples at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the </w:t>
      </w:r>
      <w:r w:rsidR="007F2667" w:rsidRPr="00A6027C">
        <w:rPr>
          <w:rFonts w:ascii="Times New Roman" w:hAnsi="Times New Roman" w:cs="Times New Roman"/>
          <w:sz w:val="20"/>
          <w:szCs w:val="20"/>
        </w:rPr>
        <w:t>order level (B) and at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</w:t>
      </w:r>
      <w:r w:rsidR="007F2667" w:rsidRPr="00A6027C">
        <w:rPr>
          <w:rFonts w:ascii="Times New Roman" w:hAnsi="Times New Roman" w:cs="Times New Roman"/>
          <w:sz w:val="20"/>
          <w:szCs w:val="20"/>
        </w:rPr>
        <w:t xml:space="preserve"> species level (C).</w:t>
      </w:r>
    </w:p>
    <w:p w14:paraId="6118B18F" w14:textId="6D4D5C63" w:rsidR="00D27BDF" w:rsidRPr="00A6027C" w:rsidRDefault="00D34BD8" w:rsidP="001E22D9">
      <w:pPr>
        <w:pStyle w:val="a7"/>
        <w:widowControl/>
        <w:spacing w:line="276" w:lineRule="auto"/>
        <w:ind w:left="0"/>
        <w:rPr>
          <w:rFonts w:ascii="Arial" w:hAnsi="Arial" w:cs="Arial"/>
          <w:szCs w:val="21"/>
          <w:shd w:val="clear" w:color="auto" w:fill="FFFFFF"/>
        </w:rPr>
      </w:pPr>
      <w:r w:rsidRPr="00A6027C">
        <w:rPr>
          <w:rFonts w:ascii="Arial" w:hAnsi="Arial" w:cs="Arial"/>
          <w:noProof/>
          <w:szCs w:val="21"/>
          <w:shd w:val="clear" w:color="auto" w:fill="FFFFFF"/>
        </w:rPr>
        <w:lastRenderedPageBreak/>
        <w:drawing>
          <wp:inline distT="0" distB="0" distL="0" distR="0" wp14:anchorId="6A21EB85" wp14:editId="32553159">
            <wp:extent cx="5274310" cy="67748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B13C" w14:textId="35855663" w:rsidR="00B63F8D" w:rsidRPr="00A6027C" w:rsidRDefault="00D34BD8" w:rsidP="00372D1E">
      <w:pPr>
        <w:pStyle w:val="a7"/>
        <w:widowControl/>
        <w:spacing w:line="480" w:lineRule="auto"/>
        <w:ind w:left="0"/>
        <w:rPr>
          <w:rFonts w:ascii="Times New Roman" w:hAnsi="Times New Roman" w:cs="Times New Roman"/>
          <w:sz w:val="20"/>
          <w:szCs w:val="20"/>
        </w:rPr>
      </w:pPr>
      <w:bookmarkStart w:id="0" w:name="_Hlk83755307"/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</w:t>
      </w:r>
      <w:bookmarkEnd w:id="0"/>
      <w:r w:rsidR="00D27BDF"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2: Significant difference in the relative abundances of the top 25 most dominant species among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the </w:t>
      </w:r>
      <w:r w:rsidR="00D27BDF" w:rsidRPr="00A6027C">
        <w:rPr>
          <w:rFonts w:ascii="Times New Roman" w:hAnsi="Times New Roman" w:cs="Times New Roman"/>
          <w:b/>
          <w:bCs/>
          <w:sz w:val="20"/>
          <w:szCs w:val="20"/>
        </w:rPr>
        <w:t>three enterotypes.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 average</w:t>
      </w:r>
      <w:r w:rsidR="00F87158" w:rsidRPr="00A6027C">
        <w:rPr>
          <w:rFonts w:ascii="Times New Roman" w:hAnsi="Times New Roman" w:cs="Times New Roman"/>
          <w:sz w:val="20"/>
          <w:szCs w:val="20"/>
        </w:rPr>
        <w:t xml:space="preserve"> relative abundance of these species was over 1% in at </w:t>
      </w:r>
      <w:r w:rsidRPr="00A6027C">
        <w:rPr>
          <w:rFonts w:ascii="Times New Roman" w:eastAsia="等线" w:hAnsi="Times New Roman" w:cs="Times New Roman"/>
          <w:sz w:val="20"/>
          <w:szCs w:val="20"/>
        </w:rPr>
        <w:t>least</w:t>
      </w:r>
      <w:r w:rsidR="00CD7C01" w:rsidRPr="00A6027C">
        <w:rPr>
          <w:rFonts w:ascii="Times New Roman" w:hAnsi="Times New Roman" w:cs="Times New Roman"/>
          <w:sz w:val="20"/>
          <w:szCs w:val="20"/>
        </w:rPr>
        <w:t xml:space="preserve"> one enterotype. T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he </w:t>
      </w:r>
      <w:r w:rsidR="00F87158" w:rsidRPr="00A6027C">
        <w:rPr>
          <w:rFonts w:ascii="Times New Roman" w:hAnsi="Times New Roman" w:cs="Times New Roman"/>
          <w:sz w:val="20"/>
          <w:szCs w:val="20"/>
        </w:rPr>
        <w:t xml:space="preserve">means, ranges and first and third quartiles are shown. Wilcoxon rank-sum test: </w:t>
      </w:r>
      <w:r w:rsidR="00AA1528" w:rsidRPr="00A6027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F87158" w:rsidRPr="00A6027C">
        <w:rPr>
          <w:rFonts w:ascii="Times New Roman" w:hAnsi="Times New Roman" w:cs="Times New Roman"/>
          <w:sz w:val="20"/>
          <w:szCs w:val="20"/>
        </w:rPr>
        <w:t>&lt;0.05; **</w:t>
      </w:r>
      <w:r w:rsidR="00AA1528" w:rsidRPr="00A6027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F87158" w:rsidRPr="00A6027C">
        <w:rPr>
          <w:rFonts w:ascii="Times New Roman" w:hAnsi="Times New Roman" w:cs="Times New Roman"/>
          <w:sz w:val="20"/>
          <w:szCs w:val="20"/>
        </w:rPr>
        <w:t>&lt;0.01; ***</w:t>
      </w:r>
      <w:r w:rsidR="00AA1528" w:rsidRPr="00A6027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F2667" w:rsidRPr="00A6027C">
        <w:rPr>
          <w:rFonts w:ascii="Times New Roman" w:hAnsi="Times New Roman" w:cs="Times New Roman"/>
          <w:sz w:val="20"/>
          <w:szCs w:val="20"/>
        </w:rPr>
        <w:t>&lt;0.001.</w:t>
      </w:r>
    </w:p>
    <w:p w14:paraId="6E6939A1" w14:textId="77777777" w:rsidR="00663892" w:rsidRPr="00A6027C" w:rsidRDefault="00D34BD8" w:rsidP="00663892">
      <w:pPr>
        <w:spacing w:line="276" w:lineRule="auto"/>
        <w:rPr>
          <w:rFonts w:ascii="Arial" w:hAnsi="Arial" w:cs="Arial"/>
          <w:szCs w:val="21"/>
          <w:shd w:val="clear" w:color="auto" w:fill="FFFFFF"/>
        </w:rPr>
      </w:pPr>
      <w:r w:rsidRPr="00A6027C">
        <w:rPr>
          <w:rFonts w:ascii="Arial" w:hAnsi="Arial" w:cs="Arial"/>
          <w:noProof/>
          <w:szCs w:val="21"/>
          <w:shd w:val="clear" w:color="auto" w:fill="FFFFFF"/>
        </w:rPr>
        <w:lastRenderedPageBreak/>
        <w:drawing>
          <wp:inline distT="0" distB="0" distL="0" distR="0" wp14:anchorId="0952E99E" wp14:editId="7E8EE078">
            <wp:extent cx="3837682" cy="28059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896" cy="28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D0F8" w14:textId="05805E50" w:rsidR="00663892" w:rsidRPr="00A6027C" w:rsidRDefault="004161B8" w:rsidP="00372D1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S3: Edges and nodes in each co-occurrence network</w:t>
      </w:r>
      <w:r w:rsidR="001526E7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061A11E" w14:textId="77777777" w:rsidR="00663892" w:rsidRPr="00A6027C" w:rsidRDefault="00D34BD8" w:rsidP="00372D1E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A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and </w:t>
      </w:r>
      <w:r w:rsidRPr="00A6027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B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: Venn diagrams showing the number of unique and shared edges and nodes. </w:t>
      </w:r>
      <w:r w:rsidRPr="00A6027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C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and </w:t>
      </w:r>
      <w:r w:rsidRPr="00A6027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D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: Number of nodes retained and ratio of edges to nodes in each co-occurrence </w:t>
      </w:r>
      <w:r w:rsidRPr="00A6027C">
        <w:rPr>
          <w:rFonts w:ascii="Times New Roman" w:eastAsia="等线" w:hAnsi="Times New Roman" w:cs="Times New Roman"/>
          <w:sz w:val="20"/>
          <w:szCs w:val="20"/>
        </w:rPr>
        <w:t>network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under different correlation value </w:t>
      </w:r>
      <w:r w:rsidRPr="00A6027C">
        <w:rPr>
          <w:rFonts w:ascii="Times New Roman" w:eastAsia="等线" w:hAnsi="Times New Roman" w:cs="Times New Roman"/>
          <w:sz w:val="20"/>
          <w:szCs w:val="20"/>
        </w:rPr>
        <w:t>cutoffs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from 0.3 to 0.9.</w:t>
      </w:r>
    </w:p>
    <w:p w14:paraId="2B91BE13" w14:textId="77777777" w:rsidR="0085349F" w:rsidRPr="00A6027C" w:rsidRDefault="0085349F" w:rsidP="00372D1E">
      <w:pPr>
        <w:pStyle w:val="a7"/>
        <w:widowControl/>
        <w:spacing w:line="480" w:lineRule="auto"/>
        <w:ind w:left="0"/>
        <w:rPr>
          <w:rFonts w:ascii="Arial" w:hAnsi="Arial" w:cs="Arial"/>
          <w:szCs w:val="21"/>
        </w:rPr>
      </w:pPr>
    </w:p>
    <w:p w14:paraId="1135AD5B" w14:textId="528BFC88" w:rsidR="0085349F" w:rsidRPr="00A6027C" w:rsidRDefault="00D34BD8" w:rsidP="00372D1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Table S2:</w:t>
      </w:r>
      <w:r w:rsidRPr="00A6027C">
        <w:rPr>
          <w:rFonts w:ascii="Times New Roman" w:hAnsi="Times New Roman" w:cs="Times New Roman"/>
          <w:sz w:val="20"/>
          <w:szCs w:val="20"/>
        </w:rPr>
        <w:t xml:space="preserve"> Results of the Kolmogorov–Smirnov test comparing bootstrapped node attributes </w:t>
      </w:r>
      <w:bookmarkStart w:id="1" w:name="_Hlk90925871"/>
      <w:r w:rsidRPr="00A6027C">
        <w:rPr>
          <w:rFonts w:ascii="Times New Roman" w:hAnsi="Times New Roman" w:cs="Times New Roman"/>
          <w:sz w:val="20"/>
          <w:szCs w:val="20"/>
        </w:rPr>
        <w:t>of co‐occurrence networks of the three enterotypes</w:t>
      </w:r>
      <w:bookmarkEnd w:id="1"/>
      <w:r w:rsidRPr="00A6027C">
        <w:rPr>
          <w:rFonts w:ascii="Times New Roman" w:hAnsi="Times New Roman" w:cs="Times New Roman"/>
          <w:sz w:val="20"/>
          <w:szCs w:val="20"/>
        </w:rPr>
        <w:t xml:space="preserve">. For each network, node attributes were computed by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a </w:t>
      </w:r>
      <w:r w:rsidRPr="00A6027C">
        <w:rPr>
          <w:rFonts w:ascii="Times New Roman" w:hAnsi="Times New Roman" w:cs="Times New Roman"/>
          <w:sz w:val="20"/>
          <w:szCs w:val="20"/>
        </w:rPr>
        <w:t>bootstrapping approach with 10,000 iterations.</w:t>
      </w:r>
    </w:p>
    <w:tbl>
      <w:tblPr>
        <w:tblW w:w="8259" w:type="dxa"/>
        <w:tblLook w:val="04A0" w:firstRow="1" w:lastRow="0" w:firstColumn="1" w:lastColumn="0" w:noHBand="0" w:noVBand="1"/>
      </w:tblPr>
      <w:tblGrid>
        <w:gridCol w:w="3261"/>
        <w:gridCol w:w="1104"/>
        <w:gridCol w:w="1477"/>
        <w:gridCol w:w="1197"/>
        <w:gridCol w:w="1220"/>
      </w:tblGrid>
      <w:tr w:rsidR="003176A9" w:rsidRPr="00A6027C" w14:paraId="4E905B52" w14:textId="77777777" w:rsidTr="00C042A7">
        <w:trPr>
          <w:trHeight w:val="287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8365A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Comparison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A00AD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Degree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8A87D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Betweenness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4B3BB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Closeness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FCB21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Transitivity</w:t>
            </w:r>
          </w:p>
        </w:tc>
      </w:tr>
      <w:tr w:rsidR="003176A9" w:rsidRPr="00A6027C" w14:paraId="077FD4E6" w14:textId="77777777" w:rsidTr="00C042A7">
        <w:trPr>
          <w:trHeight w:val="28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4AAF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P. copri</w:t>
            </w: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vs. 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Bacteroides spp.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D2A5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0.1171***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F12F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0.1183***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91D6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0.1018***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78AA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0.3746***</w:t>
            </w:r>
          </w:p>
        </w:tc>
      </w:tr>
      <w:tr w:rsidR="003176A9" w:rsidRPr="00A6027C" w14:paraId="7BAAEB75" w14:textId="77777777" w:rsidTr="00C042A7">
        <w:trPr>
          <w:trHeight w:val="28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2570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E. coli</w:t>
            </w: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vs. 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Bacteroides spp.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2821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0.0721***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7026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0.1015***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4CCD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0.0994***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3D00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0.0823***</w:t>
            </w:r>
          </w:p>
        </w:tc>
      </w:tr>
      <w:tr w:rsidR="003176A9" w:rsidRPr="00A6027C" w14:paraId="0B7F7DCB" w14:textId="77777777" w:rsidTr="00C042A7">
        <w:trPr>
          <w:trHeight w:val="287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7EC20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P. copri</w:t>
            </w: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vs. ET-</w:t>
            </w:r>
            <w:r w:rsidRPr="00A6027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E. coli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A74F3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0.1177***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54247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0.1404***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C79E2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0.1606***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C8FA5" w14:textId="77777777" w:rsidR="0085349F" w:rsidRPr="00A6027C" w:rsidRDefault="00D34BD8" w:rsidP="004B6A2B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027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0.3786***</w:t>
            </w:r>
          </w:p>
        </w:tc>
      </w:tr>
    </w:tbl>
    <w:p w14:paraId="350987D9" w14:textId="23F77CA6" w:rsidR="0085349F" w:rsidRPr="00A6027C" w:rsidRDefault="00D34BD8" w:rsidP="00372D1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eastAsia="等线" w:hAnsi="Times New Roman" w:cs="Times New Roman"/>
          <w:sz w:val="20"/>
          <w:szCs w:val="20"/>
        </w:rPr>
        <w:t>The</w:t>
      </w:r>
      <w:r w:rsidRPr="00A6027C">
        <w:rPr>
          <w:rFonts w:ascii="Times New Roman" w:hAnsi="Times New Roman" w:cs="Times New Roman"/>
          <w:sz w:val="20"/>
          <w:szCs w:val="20"/>
        </w:rPr>
        <w:t xml:space="preserve"> Kolmogorov–Smirnov test compares the overall shape of the cumulative distribution of two variables</w:t>
      </w:r>
      <w:r w:rsidRPr="00A6027C">
        <w:rPr>
          <w:rFonts w:ascii="Times New Roman" w:eastAsia="等线" w:hAnsi="Times New Roman" w:cs="Times New Roman"/>
          <w:sz w:val="20"/>
          <w:szCs w:val="20"/>
        </w:rPr>
        <w:t>,</w:t>
      </w:r>
      <w:r w:rsidRPr="00A6027C">
        <w:rPr>
          <w:rFonts w:ascii="Times New Roman" w:hAnsi="Times New Roman" w:cs="Times New Roman"/>
          <w:sz w:val="20"/>
          <w:szCs w:val="20"/>
        </w:rPr>
        <w:t xml:space="preserve"> where the null hypothesis is that the variables have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the </w:t>
      </w:r>
      <w:r w:rsidRPr="00A6027C">
        <w:rPr>
          <w:rFonts w:ascii="Times New Roman" w:hAnsi="Times New Roman" w:cs="Times New Roman"/>
          <w:sz w:val="20"/>
          <w:szCs w:val="20"/>
        </w:rPr>
        <w:t xml:space="preserve">same distribution patterns. The values in each box </w:t>
      </w:r>
      <w:r w:rsidRPr="00A6027C">
        <w:rPr>
          <w:rFonts w:ascii="Times New Roman" w:eastAsia="等线" w:hAnsi="Times New Roman" w:cs="Times New Roman"/>
          <w:sz w:val="20"/>
          <w:szCs w:val="20"/>
        </w:rPr>
        <w:t>represent</w:t>
      </w:r>
      <w:r w:rsidRPr="00A6027C">
        <w:rPr>
          <w:rFonts w:ascii="Times New Roman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i/>
          <w:sz w:val="20"/>
          <w:szCs w:val="20"/>
        </w:rPr>
        <w:t>D</w:t>
      </w:r>
      <w:r w:rsidRPr="00A6027C">
        <w:rPr>
          <w:rFonts w:ascii="Times New Roman" w:hAnsi="Times New Roman" w:cs="Times New Roman"/>
          <w:sz w:val="20"/>
          <w:szCs w:val="20"/>
        </w:rPr>
        <w:t xml:space="preserve">, which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is </w:t>
      </w:r>
      <w:r w:rsidRPr="00A6027C">
        <w:rPr>
          <w:rFonts w:ascii="Times New Roman" w:hAnsi="Times New Roman" w:cs="Times New Roman"/>
          <w:sz w:val="20"/>
          <w:szCs w:val="20"/>
        </w:rPr>
        <w:t>the maximum difference in the absolute cumulative distribution function. ***</w:t>
      </w:r>
      <w:r w:rsidRPr="00A6027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A6027C">
        <w:rPr>
          <w:rFonts w:ascii="Times New Roman" w:hAnsi="Times New Roman" w:cs="Times New Roman"/>
          <w:sz w:val="20"/>
          <w:szCs w:val="20"/>
        </w:rPr>
        <w:t xml:space="preserve"> &lt; 0.001.</w:t>
      </w:r>
    </w:p>
    <w:p w14:paraId="6875A792" w14:textId="317D5332" w:rsidR="00663892" w:rsidRPr="00A6027C" w:rsidRDefault="00D34BD8" w:rsidP="0085349F">
      <w:pPr>
        <w:spacing w:line="276" w:lineRule="auto"/>
        <w:rPr>
          <w:rFonts w:ascii="Arial" w:hAnsi="Arial" w:cs="Arial"/>
          <w:szCs w:val="21"/>
        </w:rPr>
      </w:pPr>
      <w:r w:rsidRPr="00A6027C">
        <w:rPr>
          <w:rFonts w:ascii="Arial" w:hAnsi="Arial" w:cs="Arial"/>
          <w:noProof/>
          <w:szCs w:val="21"/>
          <w:shd w:val="clear" w:color="auto" w:fill="FFFFFF"/>
        </w:rPr>
        <w:lastRenderedPageBreak/>
        <w:drawing>
          <wp:inline distT="0" distB="0" distL="0" distR="0" wp14:anchorId="3EF0DAF5" wp14:editId="390CC88A">
            <wp:extent cx="5274310" cy="4258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55D8" w14:textId="42F6A6AC" w:rsidR="00840B36" w:rsidRPr="00A6027C" w:rsidRDefault="00D34BD8" w:rsidP="00372D1E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S4: Significant difference</w:t>
      </w:r>
      <w:r w:rsidR="00C35DA6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in the relative abundances of the selected biotic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driver species among 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>enterotypes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.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 species identified by NetShift </w:t>
      </w:r>
      <w:r w:rsidRPr="00A6027C">
        <w:rPr>
          <w:rFonts w:ascii="Times New Roman" w:hAnsi="Times New Roman" w:cs="Times New Roman"/>
          <w:sz w:val="20"/>
          <w:szCs w:val="20"/>
        </w:rPr>
        <w:t>with NESH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sz w:val="20"/>
          <w:szCs w:val="20"/>
        </w:rPr>
        <w:t>score values &gt; 2 were the main drivers facilitating several changes between co-occurrence networks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6027C">
        <w:rPr>
          <w:rFonts w:ascii="Times New Roman" w:hAnsi="Times New Roman" w:cs="Times New Roman"/>
          <w:sz w:val="20"/>
          <w:szCs w:val="20"/>
        </w:rPr>
        <w:t xml:space="preserve"> T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he </w:t>
      </w:r>
      <w:r w:rsidRPr="00A6027C">
        <w:rPr>
          <w:rFonts w:ascii="Times New Roman" w:hAnsi="Times New Roman" w:cs="Times New Roman"/>
          <w:sz w:val="20"/>
          <w:szCs w:val="20"/>
        </w:rPr>
        <w:t>means, ranges and first and third quartiles are shown.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Wilcoxon rank-sum test:</w:t>
      </w:r>
      <w:r w:rsidRPr="00A6027C">
        <w:rPr>
          <w:rFonts w:ascii="Times New Roman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P 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 0.05; **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P 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 0.01; ***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P 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 0.001.</w:t>
      </w:r>
    </w:p>
    <w:p w14:paraId="71169329" w14:textId="6DD68071" w:rsidR="00663892" w:rsidRPr="00A6027C" w:rsidRDefault="002E7020" w:rsidP="00663892">
      <w:pPr>
        <w:spacing w:line="276" w:lineRule="auto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BA42E96" wp14:editId="312C32D9">
            <wp:extent cx="5274310" cy="3368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8CC6" w14:textId="01C08A42" w:rsidR="00663892" w:rsidRPr="00A6027C" w:rsidRDefault="00D34BD8" w:rsidP="002E7020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S5: Association between clinical and demographic variables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and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the relative abundances of the biotic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driver species</w:t>
      </w:r>
      <w:r w:rsidRPr="00A6027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.</w:t>
      </w:r>
      <w:r w:rsidRPr="00A6027C">
        <w:rPr>
          <w:rFonts w:ascii="Times New Roman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eastAsia="等线" w:hAnsi="Times New Roman" w:cs="Times New Roman"/>
          <w:sz w:val="20"/>
          <w:szCs w:val="20"/>
        </w:rPr>
        <w:t>The color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bar shows correlation values, where red </w:t>
      </w:r>
      <w:r w:rsidRPr="00A6027C">
        <w:rPr>
          <w:rFonts w:ascii="Times New Roman" w:eastAsia="等线" w:hAnsi="Times New Roman" w:cs="Times New Roman"/>
          <w:sz w:val="20"/>
          <w:szCs w:val="20"/>
        </w:rPr>
        <w:t>indicates a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positive association, blue </w:t>
      </w:r>
      <w:r w:rsidRPr="00A6027C">
        <w:rPr>
          <w:rFonts w:ascii="Times New Roman" w:eastAsia="等线" w:hAnsi="Times New Roman" w:cs="Times New Roman"/>
          <w:sz w:val="20"/>
          <w:szCs w:val="20"/>
        </w:rPr>
        <w:t>indicates a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negative association, and only significant correlations </w:t>
      </w:r>
      <w:r w:rsidRPr="00A6027C">
        <w:rPr>
          <w:rFonts w:ascii="Times New Roman" w:eastAsia="等线" w:hAnsi="Times New Roman" w:cs="Times New Roman"/>
          <w:sz w:val="20"/>
          <w:szCs w:val="20"/>
        </w:rPr>
        <w:t>are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shown. Circle </w:t>
      </w:r>
      <w:r w:rsidRPr="00A6027C">
        <w:rPr>
          <w:rFonts w:ascii="Times New Roman" w:hAnsi="Times New Roman" w:cs="Times New Roman"/>
          <w:sz w:val="20"/>
          <w:szCs w:val="20"/>
        </w:rPr>
        <w:t xml:space="preserve">sizes represent 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the value of importance (%).</w:t>
      </w:r>
    </w:p>
    <w:p w14:paraId="445508BD" w14:textId="77777777" w:rsidR="00663892" w:rsidRPr="00A6027C" w:rsidRDefault="00663892" w:rsidP="00840B36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Cs w:val="21"/>
        </w:rPr>
      </w:pPr>
    </w:p>
    <w:p w14:paraId="125D1F17" w14:textId="46DEAF0A" w:rsidR="00840B36" w:rsidRPr="00A6027C" w:rsidRDefault="00D34BD8" w:rsidP="00840B36">
      <w:pPr>
        <w:spacing w:line="276" w:lineRule="auto"/>
        <w:rPr>
          <w:szCs w:val="21"/>
        </w:rPr>
      </w:pPr>
      <w:r w:rsidRPr="00A6027C">
        <w:rPr>
          <w:noProof/>
          <w:szCs w:val="21"/>
        </w:rPr>
        <w:lastRenderedPageBreak/>
        <w:drawing>
          <wp:inline distT="0" distB="0" distL="0" distR="0" wp14:anchorId="1E55993B" wp14:editId="54E43916">
            <wp:extent cx="5274310" cy="4331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6D54" w14:textId="1F207A44" w:rsidR="00840B36" w:rsidRPr="00A6027C" w:rsidRDefault="00D34BD8" w:rsidP="002E702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2" w:name="_Hlk84170568"/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bookmarkStart w:id="3" w:name="OLE_LINK1"/>
      <w:r w:rsidRPr="00A6027C">
        <w:rPr>
          <w:rFonts w:ascii="Times New Roman" w:hAnsi="Times New Roman" w:cs="Times New Roman"/>
          <w:b/>
          <w:bCs/>
          <w:sz w:val="20"/>
          <w:szCs w:val="20"/>
        </w:rPr>
        <w:t>Figure S</w:t>
      </w:r>
      <w:bookmarkEnd w:id="2"/>
      <w:bookmarkEnd w:id="3"/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6: Discrepancies </w:t>
      </w:r>
      <w:r w:rsidR="00C35DA6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C35DA6"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>the centralities (rank of the closeness) of co-occurring taxa in the main groups. A:</w:t>
      </w:r>
      <w:r w:rsidRPr="00A6027C">
        <w:rPr>
          <w:rFonts w:ascii="Times New Roman" w:hAnsi="Times New Roman" w:cs="Times New Roman"/>
          <w:sz w:val="20"/>
          <w:szCs w:val="20"/>
        </w:rPr>
        <w:t xml:space="preserve"> Donut charts show the number of nodes and their cumulative relative abundance</w:t>
      </w:r>
      <w:r w:rsidR="00C35DA6">
        <w:rPr>
          <w:rFonts w:ascii="Times New Roman" w:hAnsi="Times New Roman" w:cs="Times New Roman"/>
          <w:sz w:val="20"/>
          <w:szCs w:val="20"/>
        </w:rPr>
        <w:t>s</w:t>
      </w:r>
      <w:r w:rsidRPr="00A6027C">
        <w:rPr>
          <w:rFonts w:ascii="Times New Roman" w:hAnsi="Times New Roman" w:cs="Times New Roman"/>
          <w:sz w:val="20"/>
          <w:szCs w:val="20"/>
        </w:rPr>
        <w:t xml:space="preserve"> in each group of the three co-occurrence networks. 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>B:</w:t>
      </w:r>
      <w:r w:rsidRPr="00A6027C">
        <w:rPr>
          <w:rFonts w:ascii="Times New Roman" w:hAnsi="Times New Roman" w:cs="Times New Roman"/>
          <w:sz w:val="20"/>
          <w:szCs w:val="20"/>
        </w:rPr>
        <w:t xml:space="preserve"> Centralities (rank of closeness) and unique nodes in the main groups in each </w:t>
      </w:r>
      <w:r w:rsidRPr="00A6027C">
        <w:rPr>
          <w:rFonts w:ascii="Times New Roman" w:eastAsia="等线" w:hAnsi="Times New Roman" w:cs="Times New Roman"/>
          <w:sz w:val="20"/>
          <w:szCs w:val="20"/>
        </w:rPr>
        <w:t>enterotype</w:t>
      </w:r>
      <w:r w:rsidRPr="00A6027C">
        <w:rPr>
          <w:rFonts w:ascii="Times New Roman" w:hAnsi="Times New Roman" w:cs="Times New Roman"/>
          <w:sz w:val="20"/>
          <w:szCs w:val="20"/>
        </w:rPr>
        <w:t>.</w:t>
      </w:r>
    </w:p>
    <w:p w14:paraId="0C35E5DE" w14:textId="77777777" w:rsidR="00663892" w:rsidRPr="00A6027C" w:rsidRDefault="00D34BD8" w:rsidP="00663892">
      <w:pPr>
        <w:spacing w:line="276" w:lineRule="auto"/>
        <w:rPr>
          <w:rFonts w:ascii="Arial" w:hAnsi="Arial" w:cs="Arial"/>
          <w:szCs w:val="21"/>
        </w:rPr>
      </w:pPr>
      <w:r w:rsidRPr="00A6027C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526ED3DD" wp14:editId="00C29B15">
            <wp:extent cx="2739766" cy="325966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3" cy="32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3351" w14:textId="1736CA20" w:rsidR="00663892" w:rsidRPr="00A6027C" w:rsidRDefault="00D34BD8" w:rsidP="002E702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S7: Composition of NESH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>score values of nodes.</w:t>
      </w:r>
    </w:p>
    <w:p w14:paraId="56163F7D" w14:textId="0A7D70B6" w:rsidR="00663892" w:rsidRPr="00A6027C" w:rsidRDefault="00D34BD8" w:rsidP="002E702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sz w:val="20"/>
          <w:szCs w:val="20"/>
        </w:rPr>
        <w:t>T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he </w:t>
      </w:r>
      <w:r w:rsidRPr="00A6027C">
        <w:rPr>
          <w:rFonts w:ascii="Times New Roman" w:hAnsi="Times New Roman" w:cs="Times New Roman"/>
          <w:sz w:val="20"/>
          <w:szCs w:val="20"/>
        </w:rPr>
        <w:t>means, ranges and first and third quartiles are shown.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Wilcoxon rank-sum test:</w:t>
      </w:r>
      <w:r w:rsidRPr="00A6027C">
        <w:rPr>
          <w:rFonts w:ascii="Times New Roman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P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&lt;0.05; **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P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&lt;0.01; ***</w:t>
      </w:r>
      <w:r w:rsidRPr="00A6027C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P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&lt;0.001.</w:t>
      </w:r>
    </w:p>
    <w:p w14:paraId="18055ABF" w14:textId="00D346E7" w:rsidR="006A6C48" w:rsidRPr="00A6027C" w:rsidRDefault="00D34BD8" w:rsidP="006A6C48">
      <w:pPr>
        <w:spacing w:line="276" w:lineRule="auto"/>
        <w:rPr>
          <w:szCs w:val="21"/>
        </w:rPr>
      </w:pPr>
      <w:r w:rsidRPr="00A6027C">
        <w:rPr>
          <w:noProof/>
          <w:szCs w:val="21"/>
        </w:rPr>
        <w:drawing>
          <wp:inline distT="0" distB="0" distL="0" distR="0" wp14:anchorId="44C42748" wp14:editId="3423C6E8">
            <wp:extent cx="5274310" cy="3098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1F17" w14:textId="191BD209" w:rsidR="006A6C48" w:rsidRPr="00A6027C" w:rsidRDefault="00D34BD8" w:rsidP="002E7020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bookmarkStart w:id="4" w:name="_Hlk87797555"/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</w:t>
      </w:r>
      <w:bookmarkEnd w:id="4"/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8: Heatmap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showing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the prevalence of the main groups of co-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occurring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species and </w:t>
      </w:r>
      <w:r w:rsidRPr="00A6027C">
        <w:rPr>
          <w:rFonts w:ascii="Times New Roman" w:eastAsia="等线" w:hAnsi="Times New Roman" w:cs="Times New Roman"/>
          <w:b/>
          <w:bCs/>
          <w:sz w:val="20"/>
          <w:szCs w:val="20"/>
        </w:rPr>
        <w:t>predominant</w:t>
      </w:r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 species in each enterotype</w:t>
      </w:r>
      <w:r w:rsidRPr="00A6027C">
        <w:rPr>
          <w:rFonts w:ascii="Times New Roman" w:hAnsi="Times New Roman" w:cs="Times New Roman"/>
          <w:sz w:val="20"/>
          <w:szCs w:val="20"/>
        </w:rPr>
        <w:t xml:space="preserve">. </w:t>
      </w:r>
      <w:r w:rsidRPr="00A6027C">
        <w:rPr>
          <w:rFonts w:ascii="Times New Roman" w:eastAsia="等线" w:hAnsi="Times New Roman" w:cs="Times New Roman"/>
          <w:sz w:val="20"/>
          <w:szCs w:val="20"/>
        </w:rPr>
        <w:t>The color</w:t>
      </w:r>
      <w:r w:rsidRPr="00A6027C">
        <w:rPr>
          <w:rFonts w:ascii="Times New Roman" w:hAnsi="Times New Roman" w:cs="Times New Roman"/>
          <w:sz w:val="20"/>
          <w:szCs w:val="20"/>
        </w:rPr>
        <w:t xml:space="preserve"> bar shows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</w:t>
      </w:r>
      <w:r w:rsidRPr="00A6027C">
        <w:rPr>
          <w:rFonts w:ascii="Times New Roman" w:hAnsi="Times New Roman" w:cs="Times New Roman"/>
          <w:sz w:val="20"/>
          <w:szCs w:val="20"/>
        </w:rPr>
        <w:t xml:space="preserve"> accumulated relative abundance of a group or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the </w:t>
      </w:r>
      <w:r w:rsidRPr="00A6027C">
        <w:rPr>
          <w:rFonts w:ascii="Times New Roman" w:hAnsi="Times New Roman" w:cs="Times New Roman"/>
          <w:sz w:val="20"/>
          <w:szCs w:val="20"/>
        </w:rPr>
        <w:t>relative abundance of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 predominant</w:t>
      </w:r>
      <w:r w:rsidRPr="00A6027C">
        <w:rPr>
          <w:rFonts w:ascii="Times New Roman" w:hAnsi="Times New Roman" w:cs="Times New Roman"/>
          <w:sz w:val="20"/>
          <w:szCs w:val="20"/>
        </w:rPr>
        <w:t xml:space="preserve"> species</w:t>
      </w:r>
      <w:r w:rsidRPr="00A6027C">
        <w:rPr>
          <w:rFonts w:ascii="Times New Roman" w:eastAsia="等线" w:hAnsi="Times New Roman" w:cs="Times New Roman"/>
          <w:sz w:val="20"/>
          <w:szCs w:val="20"/>
        </w:rPr>
        <w:t>,</w:t>
      </w:r>
      <w:r w:rsidRPr="00A6027C">
        <w:rPr>
          <w:rFonts w:ascii="Times New Roman" w:hAnsi="Times New Roman" w:cs="Times New Roman"/>
          <w:sz w:val="20"/>
          <w:szCs w:val="20"/>
        </w:rPr>
        <w:t xml:space="preserve"> with darker colors </w:t>
      </w:r>
      <w:r w:rsidRPr="00A6027C">
        <w:rPr>
          <w:rFonts w:ascii="Times New Roman" w:hAnsi="Times New Roman" w:cs="Times New Roman"/>
          <w:sz w:val="20"/>
          <w:szCs w:val="20"/>
        </w:rPr>
        <w:lastRenderedPageBreak/>
        <w:t>indicating higher relative abundance</w:t>
      </w:r>
      <w:r w:rsidR="00C35DA6">
        <w:rPr>
          <w:rFonts w:ascii="Times New Roman" w:hAnsi="Times New Roman" w:cs="Times New Roman"/>
          <w:sz w:val="20"/>
          <w:szCs w:val="20"/>
        </w:rPr>
        <w:t>s</w:t>
      </w:r>
      <w:r w:rsidRPr="00A6027C">
        <w:rPr>
          <w:rFonts w:ascii="Times New Roman" w:hAnsi="Times New Roman" w:cs="Times New Roman"/>
          <w:sz w:val="20"/>
          <w:szCs w:val="20"/>
        </w:rPr>
        <w:t>.</w:t>
      </w:r>
    </w:p>
    <w:p w14:paraId="35D23612" w14:textId="77777777" w:rsidR="006A6C48" w:rsidRPr="00A6027C" w:rsidRDefault="006A6C48" w:rsidP="004B6A2B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5C7124AF" w14:textId="77777777" w:rsidR="006A6C48" w:rsidRPr="00A6027C" w:rsidRDefault="006A6C48" w:rsidP="004B6A2B">
      <w:pPr>
        <w:rPr>
          <w:rFonts w:ascii="Times New Roman" w:hAnsi="Times New Roman" w:cs="Times New Roman"/>
          <w:sz w:val="20"/>
          <w:szCs w:val="20"/>
        </w:rPr>
      </w:pPr>
    </w:p>
    <w:p w14:paraId="3734A2E1" w14:textId="77777777" w:rsidR="00840B36" w:rsidRPr="00A6027C" w:rsidRDefault="00840B36" w:rsidP="004B6A2B">
      <w:pPr>
        <w:pStyle w:val="a7"/>
        <w:widowControl/>
        <w:ind w:left="0"/>
        <w:rPr>
          <w:rFonts w:ascii="Times New Roman" w:hAnsi="Times New Roman" w:cs="Times New Roman"/>
          <w:sz w:val="20"/>
          <w:szCs w:val="20"/>
        </w:rPr>
      </w:pPr>
    </w:p>
    <w:p w14:paraId="365FD8AD" w14:textId="1BCBD452" w:rsidR="00CF0B2A" w:rsidRPr="00A6027C" w:rsidRDefault="00D34BD8" w:rsidP="004B6A2B">
      <w:pPr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9277BD" wp14:editId="1D08761D">
            <wp:extent cx="5141976" cy="381304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41D6" w14:textId="1B5BBC86" w:rsidR="00CF0B2A" w:rsidRPr="00A6027C" w:rsidRDefault="00D34BD8" w:rsidP="002E702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5" w:name="_Hlk84268292"/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</w:t>
      </w:r>
      <w:bookmarkEnd w:id="5"/>
      <w:r w:rsidRPr="00A6027C">
        <w:rPr>
          <w:rFonts w:ascii="Times New Roman" w:hAnsi="Times New Roman" w:cs="Times New Roman"/>
          <w:b/>
          <w:bCs/>
          <w:sz w:val="20"/>
          <w:szCs w:val="20"/>
        </w:rPr>
        <w:t xml:space="preserve">9: Analysis of stool samples using </w:t>
      </w:r>
      <w:bookmarkStart w:id="6" w:name="_Hlk83412431"/>
      <w:r w:rsidRPr="00A6027C">
        <w:rPr>
          <w:rFonts w:ascii="Times New Roman" w:hAnsi="Times New Roman" w:cs="Times New Roman"/>
          <w:b/>
          <w:bCs/>
          <w:sz w:val="20"/>
          <w:szCs w:val="20"/>
        </w:rPr>
        <w:t>shotgun metagenomics</w:t>
      </w:r>
      <w:bookmarkEnd w:id="6"/>
      <w:r w:rsidRPr="00A6027C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55D2722D" w14:textId="5491290D" w:rsidR="00CF0B2A" w:rsidRPr="00A6027C" w:rsidRDefault="00D34BD8" w:rsidP="002E702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sz w:val="20"/>
          <w:szCs w:val="20"/>
        </w:rPr>
        <w:t xml:space="preserve">The heatmap </w:t>
      </w:r>
      <w:r w:rsidRPr="00A6027C">
        <w:rPr>
          <w:rFonts w:ascii="Times New Roman" w:eastAsia="等线" w:hAnsi="Times New Roman" w:cs="Times New Roman"/>
          <w:sz w:val="20"/>
          <w:szCs w:val="20"/>
        </w:rPr>
        <w:t>shows</w:t>
      </w:r>
      <w:r w:rsidRPr="00A6027C">
        <w:rPr>
          <w:rFonts w:ascii="Times New Roman" w:hAnsi="Times New Roman" w:cs="Times New Roman"/>
          <w:sz w:val="20"/>
          <w:szCs w:val="20"/>
        </w:rPr>
        <w:t xml:space="preserve"> a clustering of functional pathways significantly </w:t>
      </w:r>
      <w:r w:rsidRPr="00A6027C">
        <w:rPr>
          <w:rFonts w:ascii="Times New Roman" w:eastAsia="等线" w:hAnsi="Times New Roman" w:cs="Times New Roman"/>
          <w:sz w:val="20"/>
          <w:szCs w:val="20"/>
        </w:rPr>
        <w:t>differentially</w:t>
      </w:r>
      <w:r w:rsidRPr="00A6027C">
        <w:rPr>
          <w:rFonts w:ascii="Times New Roman" w:hAnsi="Times New Roman" w:cs="Times New Roman"/>
          <w:sz w:val="20"/>
          <w:szCs w:val="20"/>
        </w:rPr>
        <w:t xml:space="preserve"> enriched in each </w:t>
      </w:r>
      <w:r w:rsidRPr="00A6027C">
        <w:rPr>
          <w:rFonts w:ascii="Times New Roman" w:eastAsia="等线" w:hAnsi="Times New Roman" w:cs="Times New Roman"/>
          <w:sz w:val="20"/>
          <w:szCs w:val="20"/>
        </w:rPr>
        <w:t>enterotype</w:t>
      </w:r>
      <w:r w:rsidRPr="00A6027C">
        <w:rPr>
          <w:rFonts w:ascii="Times New Roman" w:hAnsi="Times New Roman" w:cs="Times New Roman"/>
          <w:sz w:val="20"/>
          <w:szCs w:val="20"/>
        </w:rPr>
        <w:t xml:space="preserve"> classified by metabolic categories or functional modules calculated using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</w:t>
      </w:r>
      <w:r w:rsidRPr="00A6027C">
        <w:rPr>
          <w:rFonts w:ascii="Times New Roman" w:hAnsi="Times New Roman" w:cs="Times New Roman"/>
          <w:sz w:val="20"/>
          <w:szCs w:val="20"/>
        </w:rPr>
        <w:t xml:space="preserve"> SPIEC-EASI (glasso) method.</w:t>
      </w:r>
    </w:p>
    <w:p w14:paraId="05731479" w14:textId="77777777" w:rsidR="00CF0B2A" w:rsidRPr="00A6027C" w:rsidRDefault="00CF0B2A" w:rsidP="002E702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AE51D8E" w14:textId="394C7C67" w:rsidR="00CF0B2A" w:rsidRPr="00A6027C" w:rsidRDefault="00D34BD8" w:rsidP="004B6A2B">
      <w:pPr>
        <w:rPr>
          <w:rFonts w:ascii="Times New Roman" w:hAnsi="Times New Roman" w:cs="Times New Roman"/>
          <w:sz w:val="20"/>
          <w:szCs w:val="20"/>
        </w:rPr>
      </w:pPr>
      <w:r w:rsidRPr="00A6027C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8A7F1F3" wp14:editId="0DF9F90E">
            <wp:extent cx="5274310" cy="61347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A1E2" w14:textId="6112C311" w:rsidR="00CF0B2A" w:rsidRPr="00A6027C" w:rsidRDefault="00D34BD8" w:rsidP="002E702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027C">
        <w:rPr>
          <w:rFonts w:ascii="Times New Roman" w:hAnsi="Times New Roman" w:cs="Times New Roman"/>
          <w:b/>
          <w:bCs/>
          <w:sz w:val="20"/>
          <w:szCs w:val="20"/>
        </w:rPr>
        <w:t>Supplementary Figure S10: Comparison of metabolic capacity between enterotypes.</w:t>
      </w:r>
    </w:p>
    <w:p w14:paraId="663FBDC3" w14:textId="1C92D984" w:rsidR="00CF0B2A" w:rsidRPr="00A6027C" w:rsidRDefault="00D34BD8" w:rsidP="00FA4397">
      <w:pPr>
        <w:spacing w:line="480" w:lineRule="auto"/>
      </w:pPr>
      <w:r w:rsidRPr="00A6027C">
        <w:rPr>
          <w:rFonts w:ascii="Times New Roman" w:hAnsi="Times New Roman" w:cs="Times New Roman"/>
          <w:sz w:val="20"/>
          <w:szCs w:val="20"/>
        </w:rPr>
        <w:t>Dot sizes represent the mean relative abundance</w:t>
      </w:r>
      <w:r w:rsidR="00C35DA6">
        <w:rPr>
          <w:rFonts w:ascii="Times New Roman" w:hAnsi="Times New Roman" w:cs="Times New Roman"/>
          <w:sz w:val="20"/>
          <w:szCs w:val="20"/>
        </w:rPr>
        <w:t>s</w:t>
      </w:r>
      <w:r w:rsidRPr="00A6027C">
        <w:rPr>
          <w:rFonts w:ascii="Times New Roman" w:hAnsi="Times New Roman" w:cs="Times New Roman"/>
          <w:sz w:val="20"/>
          <w:szCs w:val="20"/>
        </w:rPr>
        <w:t xml:space="preserve"> of pathways. Bacterial functions that </w:t>
      </w:r>
      <w:r w:rsidRPr="00A6027C">
        <w:rPr>
          <w:rFonts w:ascii="Times New Roman" w:eastAsia="等线" w:hAnsi="Times New Roman" w:cs="Times New Roman"/>
          <w:sz w:val="20"/>
          <w:szCs w:val="20"/>
        </w:rPr>
        <w:t>were</w:t>
      </w:r>
      <w:r w:rsidRPr="00A6027C">
        <w:rPr>
          <w:rFonts w:ascii="Times New Roman" w:hAnsi="Times New Roman" w:cs="Times New Roman"/>
          <w:sz w:val="20"/>
          <w:szCs w:val="20"/>
        </w:rPr>
        <w:t xml:space="preserve"> significantly enriched 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r w:rsidRPr="00A6027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FDR</w:t>
      </w:r>
      <w:r w:rsidRPr="00A6027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-corrected 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*</w:t>
      </w:r>
      <w:r w:rsidRPr="00A6027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p</w:t>
      </w:r>
      <w:r w:rsidRPr="00A6027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 </w:t>
      </w:r>
      <w:r w:rsidRPr="00A6027C">
        <w:rPr>
          <w:rFonts w:ascii="Times New Roman" w:hAnsi="Times New Roman" w:cs="Times New Roman"/>
          <w:sz w:val="20"/>
          <w:szCs w:val="20"/>
        </w:rPr>
        <w:t>&lt; 0.05</w:t>
      </w:r>
      <w:r w:rsidRPr="00A6027C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  <w:r w:rsidR="00B70DE2" w:rsidRPr="00A6027C">
        <w:rPr>
          <w:rFonts w:ascii="Times New Roman" w:hAnsi="Times New Roman" w:cs="Times New Roman"/>
          <w:sz w:val="20"/>
          <w:szCs w:val="20"/>
        </w:rPr>
        <w:t xml:space="preserve"> in the comparison among enterotypes are indicated in color (red, ET-</w:t>
      </w:r>
      <w:r w:rsidR="00B70DE2" w:rsidRPr="00A6027C">
        <w:rPr>
          <w:rFonts w:ascii="Times New Roman" w:hAnsi="Times New Roman" w:cs="Times New Roman"/>
          <w:i/>
          <w:iCs/>
          <w:sz w:val="20"/>
          <w:szCs w:val="20"/>
        </w:rPr>
        <w:t>Bacteroides spp</w:t>
      </w:r>
      <w:r w:rsidRPr="00A6027C">
        <w:rPr>
          <w:rFonts w:ascii="Times New Roman" w:hAnsi="Times New Roman" w:cs="Times New Roman"/>
          <w:sz w:val="20"/>
          <w:szCs w:val="20"/>
        </w:rPr>
        <w:t>.; gold, ET-</w:t>
      </w:r>
      <w:r w:rsidRPr="00852E27">
        <w:rPr>
          <w:rFonts w:ascii="Times New Roman" w:hAnsi="Times New Roman" w:cs="Times New Roman"/>
          <w:i/>
          <w:iCs/>
          <w:sz w:val="20"/>
          <w:szCs w:val="20"/>
        </w:rPr>
        <w:t>E. coli</w:t>
      </w:r>
      <w:r w:rsidRPr="00A6027C">
        <w:rPr>
          <w:rFonts w:ascii="Times New Roman" w:hAnsi="Times New Roman" w:cs="Times New Roman"/>
          <w:sz w:val="20"/>
          <w:szCs w:val="20"/>
        </w:rPr>
        <w:t>; blue, ET-</w:t>
      </w:r>
      <w:r w:rsidRPr="00852E27">
        <w:rPr>
          <w:rFonts w:ascii="Times New Roman" w:hAnsi="Times New Roman" w:cs="Times New Roman"/>
          <w:i/>
          <w:iCs/>
          <w:sz w:val="20"/>
          <w:szCs w:val="20"/>
        </w:rPr>
        <w:t>P. copri</w:t>
      </w:r>
      <w:r w:rsidRPr="00A6027C">
        <w:rPr>
          <w:rFonts w:ascii="Times New Roman" w:hAnsi="Times New Roman" w:cs="Times New Roman"/>
          <w:sz w:val="20"/>
          <w:szCs w:val="20"/>
        </w:rPr>
        <w:t xml:space="preserve">); </w:t>
      </w:r>
      <w:r w:rsidRPr="00A6027C">
        <w:rPr>
          <w:rFonts w:ascii="Times New Roman" w:eastAsia="等线" w:hAnsi="Times New Roman" w:cs="Times New Roman"/>
          <w:sz w:val="20"/>
          <w:szCs w:val="20"/>
        </w:rPr>
        <w:t>pathways</w:t>
      </w:r>
      <w:r w:rsidRPr="00A6027C">
        <w:rPr>
          <w:rFonts w:ascii="Times New Roman" w:hAnsi="Times New Roman" w:cs="Times New Roman"/>
          <w:sz w:val="20"/>
          <w:szCs w:val="20"/>
        </w:rPr>
        <w:t xml:space="preserve"> without significant </w:t>
      </w:r>
      <w:r w:rsidRPr="00A6027C">
        <w:rPr>
          <w:rFonts w:ascii="Times New Roman" w:eastAsia="等线" w:hAnsi="Times New Roman" w:cs="Times New Roman"/>
          <w:sz w:val="20"/>
          <w:szCs w:val="20"/>
        </w:rPr>
        <w:t>differences</w:t>
      </w:r>
      <w:r w:rsidRPr="00A6027C">
        <w:rPr>
          <w:rFonts w:ascii="Times New Roman" w:hAnsi="Times New Roman" w:cs="Times New Roman"/>
          <w:sz w:val="20"/>
          <w:szCs w:val="20"/>
        </w:rPr>
        <w:t xml:space="preserve"> in relative abundance are indicated in gray. Pathways from the same metabolic category </w:t>
      </w:r>
      <w:r w:rsidRPr="00A6027C">
        <w:rPr>
          <w:rFonts w:ascii="Times New Roman" w:eastAsia="等线" w:hAnsi="Times New Roman" w:cs="Times New Roman"/>
          <w:sz w:val="20"/>
          <w:szCs w:val="20"/>
        </w:rPr>
        <w:t>are</w:t>
      </w:r>
      <w:r w:rsidRPr="00A6027C">
        <w:rPr>
          <w:rFonts w:ascii="Times New Roman" w:hAnsi="Times New Roman" w:cs="Times New Roman"/>
          <w:sz w:val="20"/>
          <w:szCs w:val="20"/>
        </w:rPr>
        <w:t xml:space="preserve"> presented in </w:t>
      </w:r>
      <w:r w:rsidR="00C35DA6">
        <w:rPr>
          <w:rFonts w:ascii="Times New Roman" w:hAnsi="Times New Roman" w:cs="Times New Roman"/>
          <w:sz w:val="20"/>
          <w:szCs w:val="20"/>
        </w:rPr>
        <w:t>each</w:t>
      </w:r>
      <w:r w:rsidR="00C35DA6" w:rsidRPr="00A6027C">
        <w:rPr>
          <w:rFonts w:ascii="Times New Roman" w:hAnsi="Times New Roman" w:cs="Times New Roman"/>
          <w:sz w:val="20"/>
          <w:szCs w:val="20"/>
        </w:rPr>
        <w:t xml:space="preserve"> </w:t>
      </w:r>
      <w:r w:rsidRPr="00A6027C">
        <w:rPr>
          <w:rFonts w:ascii="Times New Roman" w:hAnsi="Times New Roman" w:cs="Times New Roman"/>
          <w:sz w:val="20"/>
          <w:szCs w:val="20"/>
        </w:rPr>
        <w:t>diagram. The closer the point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is</w:t>
      </w:r>
      <w:r w:rsidRPr="00A6027C">
        <w:rPr>
          <w:rFonts w:ascii="Times New Roman" w:hAnsi="Times New Roman" w:cs="Times New Roman"/>
          <w:sz w:val="20"/>
          <w:szCs w:val="20"/>
        </w:rPr>
        <w:t xml:space="preserve"> to the apex of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the </w:t>
      </w:r>
      <w:r w:rsidRPr="00A6027C">
        <w:rPr>
          <w:rFonts w:ascii="Times New Roman" w:hAnsi="Times New Roman" w:cs="Times New Roman"/>
          <w:sz w:val="20"/>
          <w:szCs w:val="20"/>
        </w:rPr>
        <w:t>triangle</w:t>
      </w:r>
      <w:r w:rsidRPr="00A6027C">
        <w:rPr>
          <w:rFonts w:ascii="Times New Roman" w:eastAsia="等线" w:hAnsi="Times New Roman" w:cs="Times New Roman"/>
          <w:sz w:val="20"/>
          <w:szCs w:val="20"/>
        </w:rPr>
        <w:t>,</w:t>
      </w:r>
      <w:r w:rsidRPr="00A6027C">
        <w:rPr>
          <w:rFonts w:ascii="Times New Roman" w:hAnsi="Times New Roman" w:cs="Times New Roman"/>
          <w:sz w:val="20"/>
          <w:szCs w:val="20"/>
        </w:rPr>
        <w:t xml:space="preserve"> the higher 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the </w:t>
      </w:r>
      <w:r w:rsidRPr="00A6027C">
        <w:rPr>
          <w:rFonts w:ascii="Times New Roman" w:hAnsi="Times New Roman" w:cs="Times New Roman"/>
          <w:sz w:val="20"/>
          <w:szCs w:val="20"/>
        </w:rPr>
        <w:t>abundance of this pathway in</w:t>
      </w:r>
      <w:r w:rsidRPr="00A6027C">
        <w:rPr>
          <w:rFonts w:ascii="Times New Roman" w:eastAsia="等线" w:hAnsi="Times New Roman" w:cs="Times New Roman"/>
          <w:sz w:val="20"/>
          <w:szCs w:val="20"/>
        </w:rPr>
        <w:t xml:space="preserve"> the</w:t>
      </w:r>
      <w:r w:rsidRPr="00A6027C">
        <w:rPr>
          <w:rFonts w:ascii="Times New Roman" w:hAnsi="Times New Roman" w:cs="Times New Roman"/>
          <w:sz w:val="20"/>
          <w:szCs w:val="20"/>
        </w:rPr>
        <w:t xml:space="preserve"> corresponding enterotype.</w:t>
      </w:r>
    </w:p>
    <w:sectPr w:rsidR="00CF0B2A" w:rsidRPr="00A60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539F7" w14:textId="77777777" w:rsidR="00064A3E" w:rsidRDefault="00064A3E" w:rsidP="00372D1E">
      <w:r>
        <w:separator/>
      </w:r>
    </w:p>
  </w:endnote>
  <w:endnote w:type="continuationSeparator" w:id="0">
    <w:p w14:paraId="5BADE53B" w14:textId="77777777" w:rsidR="00064A3E" w:rsidRDefault="00064A3E" w:rsidP="0037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A483" w14:textId="77777777" w:rsidR="00064A3E" w:rsidRDefault="00064A3E" w:rsidP="00372D1E">
      <w:r>
        <w:separator/>
      </w:r>
    </w:p>
  </w:footnote>
  <w:footnote w:type="continuationSeparator" w:id="0">
    <w:p w14:paraId="24A3B999" w14:textId="77777777" w:rsidR="00064A3E" w:rsidRDefault="00064A3E" w:rsidP="00372D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bordersDoNotSurroundHeader/>
  <w:bordersDoNotSurroundFooter/>
  <w:proofState w:spelling="clean" w:grammar="clean"/>
  <w:trackRevisions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449"/>
    <w:rsid w:val="00000E65"/>
    <w:rsid w:val="00000FB3"/>
    <w:rsid w:val="000074C9"/>
    <w:rsid w:val="00014891"/>
    <w:rsid w:val="00026449"/>
    <w:rsid w:val="00030E99"/>
    <w:rsid w:val="00031326"/>
    <w:rsid w:val="000361B0"/>
    <w:rsid w:val="00043288"/>
    <w:rsid w:val="00064A3E"/>
    <w:rsid w:val="000A4084"/>
    <w:rsid w:val="000D158F"/>
    <w:rsid w:val="000E046E"/>
    <w:rsid w:val="000E1684"/>
    <w:rsid w:val="000F69CC"/>
    <w:rsid w:val="0012049C"/>
    <w:rsid w:val="00131AA9"/>
    <w:rsid w:val="00137D0C"/>
    <w:rsid w:val="0015073D"/>
    <w:rsid w:val="00151FAA"/>
    <w:rsid w:val="001526E7"/>
    <w:rsid w:val="00176CD1"/>
    <w:rsid w:val="00194AA0"/>
    <w:rsid w:val="00196156"/>
    <w:rsid w:val="001A1F62"/>
    <w:rsid w:val="001A401C"/>
    <w:rsid w:val="001A6A3A"/>
    <w:rsid w:val="001E22D9"/>
    <w:rsid w:val="001E4045"/>
    <w:rsid w:val="001F6D18"/>
    <w:rsid w:val="00200081"/>
    <w:rsid w:val="00212182"/>
    <w:rsid w:val="0023675F"/>
    <w:rsid w:val="00242F45"/>
    <w:rsid w:val="002537FB"/>
    <w:rsid w:val="00256800"/>
    <w:rsid w:val="00282BFB"/>
    <w:rsid w:val="002862E7"/>
    <w:rsid w:val="002A42B2"/>
    <w:rsid w:val="002B02B1"/>
    <w:rsid w:val="002C0DED"/>
    <w:rsid w:val="002D0DC1"/>
    <w:rsid w:val="002E7020"/>
    <w:rsid w:val="002F3A52"/>
    <w:rsid w:val="003076C7"/>
    <w:rsid w:val="003176A9"/>
    <w:rsid w:val="0032451B"/>
    <w:rsid w:val="0035369C"/>
    <w:rsid w:val="003568C1"/>
    <w:rsid w:val="0036153A"/>
    <w:rsid w:val="00363D11"/>
    <w:rsid w:val="003652C5"/>
    <w:rsid w:val="00372D1E"/>
    <w:rsid w:val="003A796E"/>
    <w:rsid w:val="003D0F31"/>
    <w:rsid w:val="003E40A5"/>
    <w:rsid w:val="003F00CF"/>
    <w:rsid w:val="004161B8"/>
    <w:rsid w:val="00421E24"/>
    <w:rsid w:val="00443C9C"/>
    <w:rsid w:val="00461F73"/>
    <w:rsid w:val="004B6A2B"/>
    <w:rsid w:val="004B7D23"/>
    <w:rsid w:val="004C6534"/>
    <w:rsid w:val="00503A5E"/>
    <w:rsid w:val="00506529"/>
    <w:rsid w:val="00506854"/>
    <w:rsid w:val="00507E48"/>
    <w:rsid w:val="00521DF4"/>
    <w:rsid w:val="0052274E"/>
    <w:rsid w:val="0054239A"/>
    <w:rsid w:val="00555BD9"/>
    <w:rsid w:val="0056253C"/>
    <w:rsid w:val="00573027"/>
    <w:rsid w:val="00590242"/>
    <w:rsid w:val="005A24FA"/>
    <w:rsid w:val="005A4155"/>
    <w:rsid w:val="005B35B8"/>
    <w:rsid w:val="005C4B6E"/>
    <w:rsid w:val="0060200D"/>
    <w:rsid w:val="00620C8E"/>
    <w:rsid w:val="006217DF"/>
    <w:rsid w:val="0062610E"/>
    <w:rsid w:val="00661107"/>
    <w:rsid w:val="00663892"/>
    <w:rsid w:val="00663C16"/>
    <w:rsid w:val="00673A8A"/>
    <w:rsid w:val="006815F8"/>
    <w:rsid w:val="00683BE7"/>
    <w:rsid w:val="00686D70"/>
    <w:rsid w:val="006A6C48"/>
    <w:rsid w:val="006B5C32"/>
    <w:rsid w:val="006C3CC5"/>
    <w:rsid w:val="006C59B1"/>
    <w:rsid w:val="006D70AA"/>
    <w:rsid w:val="006E1540"/>
    <w:rsid w:val="00724536"/>
    <w:rsid w:val="007351AD"/>
    <w:rsid w:val="007842A5"/>
    <w:rsid w:val="00792169"/>
    <w:rsid w:val="007B7918"/>
    <w:rsid w:val="007E22B4"/>
    <w:rsid w:val="007E47F7"/>
    <w:rsid w:val="007F2667"/>
    <w:rsid w:val="00800D31"/>
    <w:rsid w:val="008229E0"/>
    <w:rsid w:val="00832B37"/>
    <w:rsid w:val="00836318"/>
    <w:rsid w:val="00837F08"/>
    <w:rsid w:val="00840B36"/>
    <w:rsid w:val="00852E27"/>
    <w:rsid w:val="0085349F"/>
    <w:rsid w:val="00890E3C"/>
    <w:rsid w:val="00897DDF"/>
    <w:rsid w:val="008A7252"/>
    <w:rsid w:val="008C15E8"/>
    <w:rsid w:val="008E710B"/>
    <w:rsid w:val="008F3CEB"/>
    <w:rsid w:val="009029AA"/>
    <w:rsid w:val="00933AE6"/>
    <w:rsid w:val="0093743E"/>
    <w:rsid w:val="00942FAB"/>
    <w:rsid w:val="0098663E"/>
    <w:rsid w:val="009A690A"/>
    <w:rsid w:val="009B2EB1"/>
    <w:rsid w:val="009C24FA"/>
    <w:rsid w:val="009E73AF"/>
    <w:rsid w:val="009F3210"/>
    <w:rsid w:val="00A00BE9"/>
    <w:rsid w:val="00A05289"/>
    <w:rsid w:val="00A343B8"/>
    <w:rsid w:val="00A545F1"/>
    <w:rsid w:val="00A6027C"/>
    <w:rsid w:val="00AA1528"/>
    <w:rsid w:val="00AA7EC7"/>
    <w:rsid w:val="00AB249C"/>
    <w:rsid w:val="00AD5804"/>
    <w:rsid w:val="00AD7AF9"/>
    <w:rsid w:val="00AE329C"/>
    <w:rsid w:val="00AF50DA"/>
    <w:rsid w:val="00B07837"/>
    <w:rsid w:val="00B14B91"/>
    <w:rsid w:val="00B15C43"/>
    <w:rsid w:val="00B26D93"/>
    <w:rsid w:val="00B36FF0"/>
    <w:rsid w:val="00B46D4C"/>
    <w:rsid w:val="00B47538"/>
    <w:rsid w:val="00B63F8D"/>
    <w:rsid w:val="00B64C02"/>
    <w:rsid w:val="00B70DE2"/>
    <w:rsid w:val="00B7200E"/>
    <w:rsid w:val="00B80EBF"/>
    <w:rsid w:val="00B86AFD"/>
    <w:rsid w:val="00B97C54"/>
    <w:rsid w:val="00BC1011"/>
    <w:rsid w:val="00BD2EC8"/>
    <w:rsid w:val="00BD4A9A"/>
    <w:rsid w:val="00BE1029"/>
    <w:rsid w:val="00BF2E33"/>
    <w:rsid w:val="00C042A7"/>
    <w:rsid w:val="00C35DA6"/>
    <w:rsid w:val="00C634A9"/>
    <w:rsid w:val="00C63D0F"/>
    <w:rsid w:val="00C71937"/>
    <w:rsid w:val="00C83DDE"/>
    <w:rsid w:val="00C87124"/>
    <w:rsid w:val="00C900CE"/>
    <w:rsid w:val="00C926A8"/>
    <w:rsid w:val="00C97FD2"/>
    <w:rsid w:val="00CA13B7"/>
    <w:rsid w:val="00CB0B3C"/>
    <w:rsid w:val="00CC0739"/>
    <w:rsid w:val="00CD344F"/>
    <w:rsid w:val="00CD7C01"/>
    <w:rsid w:val="00CF0B2A"/>
    <w:rsid w:val="00D214B1"/>
    <w:rsid w:val="00D27BDF"/>
    <w:rsid w:val="00D32EFE"/>
    <w:rsid w:val="00D335FE"/>
    <w:rsid w:val="00D34BD8"/>
    <w:rsid w:val="00D92B27"/>
    <w:rsid w:val="00D95D11"/>
    <w:rsid w:val="00DB3897"/>
    <w:rsid w:val="00DD29C4"/>
    <w:rsid w:val="00DD46E3"/>
    <w:rsid w:val="00E00622"/>
    <w:rsid w:val="00E03B5A"/>
    <w:rsid w:val="00E16837"/>
    <w:rsid w:val="00E3169D"/>
    <w:rsid w:val="00E41764"/>
    <w:rsid w:val="00E71D42"/>
    <w:rsid w:val="00EC74D5"/>
    <w:rsid w:val="00F139FC"/>
    <w:rsid w:val="00F4085A"/>
    <w:rsid w:val="00F7671B"/>
    <w:rsid w:val="00F84649"/>
    <w:rsid w:val="00F86540"/>
    <w:rsid w:val="00F87158"/>
    <w:rsid w:val="00F922AF"/>
    <w:rsid w:val="00FA4397"/>
    <w:rsid w:val="00FB4101"/>
    <w:rsid w:val="00FC568F"/>
    <w:rsid w:val="00FD6376"/>
    <w:rsid w:val="00FE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B99B1C"/>
  <w15:docId w15:val="{4DBB5ECC-2F15-4FD8-82A0-EC8E65AD1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BDF"/>
    <w:pPr>
      <w:tabs>
        <w:tab w:val="center" w:pos="4153"/>
        <w:tab w:val="right" w:pos="8306"/>
      </w:tabs>
    </w:pPr>
  </w:style>
  <w:style w:type="character" w:customStyle="1" w:styleId="a4">
    <w:name w:val="页眉 字符"/>
    <w:basedOn w:val="a0"/>
    <w:link w:val="a3"/>
    <w:uiPriority w:val="99"/>
    <w:rsid w:val="00D27BDF"/>
  </w:style>
  <w:style w:type="paragraph" w:styleId="a5">
    <w:name w:val="footer"/>
    <w:basedOn w:val="a"/>
    <w:link w:val="a6"/>
    <w:uiPriority w:val="99"/>
    <w:unhideWhenUsed/>
    <w:rsid w:val="00D27BDF"/>
    <w:pPr>
      <w:tabs>
        <w:tab w:val="center" w:pos="4153"/>
        <w:tab w:val="right" w:pos="8306"/>
      </w:tabs>
    </w:pPr>
  </w:style>
  <w:style w:type="character" w:customStyle="1" w:styleId="a6">
    <w:name w:val="页脚 字符"/>
    <w:basedOn w:val="a0"/>
    <w:link w:val="a5"/>
    <w:uiPriority w:val="99"/>
    <w:rsid w:val="00D27BDF"/>
  </w:style>
  <w:style w:type="paragraph" w:styleId="a7">
    <w:name w:val="List Paragraph"/>
    <w:basedOn w:val="a"/>
    <w:uiPriority w:val="34"/>
    <w:qFormat/>
    <w:rsid w:val="00D27BDF"/>
    <w:pPr>
      <w:ind w:left="720"/>
      <w:contextualSpacing/>
    </w:pPr>
  </w:style>
  <w:style w:type="character" w:customStyle="1" w:styleId="highlight">
    <w:name w:val="highlight"/>
    <w:basedOn w:val="a0"/>
    <w:rsid w:val="00D27BDF"/>
  </w:style>
  <w:style w:type="paragraph" w:styleId="a8">
    <w:name w:val="Normal (Web)"/>
    <w:basedOn w:val="a"/>
    <w:uiPriority w:val="99"/>
    <w:unhideWhenUsed/>
    <w:rsid w:val="00F7671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9">
    <w:name w:val="annotation reference"/>
    <w:basedOn w:val="a0"/>
    <w:rsid w:val="00805BCE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a">
    <w:name w:val="annotation text"/>
    <w:basedOn w:val="a"/>
    <w:link w:val="ab"/>
    <w:uiPriority w:val="99"/>
    <w:semiHidden/>
    <w:unhideWhenUsed/>
    <w:rPr>
      <w:rFonts w:ascii="Tahoma" w:hAnsi="Tahoma" w:cs="Tahoma"/>
      <w:sz w:val="16"/>
      <w:szCs w:val="20"/>
    </w:rPr>
  </w:style>
  <w:style w:type="character" w:customStyle="1" w:styleId="ab">
    <w:name w:val="批注文字 字符"/>
    <w:basedOn w:val="a0"/>
    <w:link w:val="aa"/>
    <w:uiPriority w:val="99"/>
    <w:semiHidden/>
    <w:rPr>
      <w:rFonts w:ascii="Tahoma" w:hAnsi="Tahoma" w:cs="Tahoma"/>
      <w:sz w:val="16"/>
      <w:szCs w:val="20"/>
    </w:rPr>
  </w:style>
  <w:style w:type="paragraph" w:styleId="ac">
    <w:name w:val="Revision"/>
    <w:hidden/>
    <w:uiPriority w:val="99"/>
    <w:semiHidden/>
    <w:rsid w:val="00B36FF0"/>
  </w:style>
  <w:style w:type="paragraph" w:styleId="ad">
    <w:name w:val="annotation subject"/>
    <w:basedOn w:val="aa"/>
    <w:next w:val="aa"/>
    <w:link w:val="ae"/>
    <w:uiPriority w:val="99"/>
    <w:semiHidden/>
    <w:unhideWhenUsed/>
    <w:rsid w:val="00B36FF0"/>
    <w:rPr>
      <w:b/>
      <w:bCs/>
    </w:rPr>
  </w:style>
  <w:style w:type="character" w:customStyle="1" w:styleId="ae">
    <w:name w:val="批注主题 字符"/>
    <w:basedOn w:val="ab"/>
    <w:link w:val="ad"/>
    <w:uiPriority w:val="99"/>
    <w:semiHidden/>
    <w:rsid w:val="00B36FF0"/>
    <w:rPr>
      <w:rFonts w:ascii="Tahoma" w:hAnsi="Tahoma" w:cs="Tahoma"/>
      <w:b/>
      <w:bCs/>
      <w:sz w:val="16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36FF0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B36F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jinyou</dc:creator>
  <cp:lastModifiedBy>li jinyou</cp:lastModifiedBy>
  <cp:revision>14</cp:revision>
  <cp:lastPrinted>2022-01-10T01:23:00Z</cp:lastPrinted>
  <dcterms:created xsi:type="dcterms:W3CDTF">2022-01-27T15:04:00Z</dcterms:created>
  <dcterms:modified xsi:type="dcterms:W3CDTF">2022-02-10T04:10:00Z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2022-01-24T02:22:20Z</vt:filetime>
  </property>
</Properties>
</file>