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B2EE" w14:textId="45087194" w:rsidR="003616DF" w:rsidRPr="00F21757" w:rsidRDefault="003616DF" w:rsidP="003616DF">
      <w:pPr>
        <w:pStyle w:val="EndNoteBibliography"/>
        <w:spacing w:after="120"/>
        <w:ind w:left="284" w:hanging="284"/>
        <w:jc w:val="center"/>
        <w:rPr>
          <w:b/>
          <w:bCs/>
          <w:sz w:val="24"/>
          <w:szCs w:val="24"/>
          <w:lang w:val="en-CA"/>
        </w:rPr>
      </w:pPr>
      <w:r w:rsidRPr="00F21757">
        <w:rPr>
          <w:b/>
          <w:bCs/>
          <w:sz w:val="24"/>
          <w:szCs w:val="24"/>
          <w:lang w:val="en-CA"/>
        </w:rPr>
        <w:t xml:space="preserve">Appendix II. </w:t>
      </w:r>
      <w:r w:rsidR="00BE6354">
        <w:rPr>
          <w:b/>
          <w:bCs/>
          <w:sz w:val="24"/>
          <w:szCs w:val="24"/>
          <w:lang w:val="en-CA"/>
        </w:rPr>
        <w:t>SEM procedure</w:t>
      </w:r>
    </w:p>
    <w:p w14:paraId="0F44334A" w14:textId="77777777" w:rsidR="009E4029" w:rsidRPr="00525A42" w:rsidRDefault="009E4029" w:rsidP="009E4029">
      <w:pPr>
        <w:spacing w:after="0" w:line="240" w:lineRule="auto"/>
        <w:jc w:val="center"/>
        <w:rPr>
          <w:rFonts w:cstheme="minorHAnsi"/>
          <w:sz w:val="24"/>
          <w:szCs w:val="24"/>
          <w:lang w:val="en-CA"/>
        </w:rPr>
      </w:pPr>
      <w:bookmarkStart w:id="0" w:name="_Hlk59433639"/>
      <w:r w:rsidRPr="00525A42">
        <w:rPr>
          <w:rFonts w:cstheme="minorHAnsi"/>
          <w:sz w:val="24"/>
          <w:szCs w:val="24"/>
          <w:lang w:val="en-CA"/>
        </w:rPr>
        <w:t>Submission title: Assimilation of Digital Health by Family Physicians in Canada</w:t>
      </w:r>
    </w:p>
    <w:bookmarkEnd w:id="0"/>
    <w:p w14:paraId="46704B5D" w14:textId="77777777" w:rsidR="009E4029" w:rsidRPr="00525A42" w:rsidRDefault="009E4029" w:rsidP="009E4029">
      <w:pPr>
        <w:spacing w:after="0"/>
        <w:jc w:val="center"/>
        <w:rPr>
          <w:rFonts w:cstheme="minorHAnsi"/>
          <w:sz w:val="24"/>
          <w:szCs w:val="24"/>
          <w:lang w:val="en-US"/>
        </w:rPr>
      </w:pPr>
      <w:r w:rsidRPr="00525A42">
        <w:rPr>
          <w:rFonts w:cstheme="minorHAnsi"/>
          <w:sz w:val="24"/>
          <w:szCs w:val="24"/>
          <w:lang w:val="en-US"/>
        </w:rPr>
        <w:t xml:space="preserve">Author list: Guy Paré, </w:t>
      </w:r>
      <w:r w:rsidRPr="00525A42">
        <w:rPr>
          <w:rFonts w:cstheme="minorHAnsi"/>
          <w:sz w:val="24"/>
          <w:szCs w:val="24"/>
        </w:rPr>
        <w:t xml:space="preserve">Marie-Pascale Pomey, Louis Raymond and </w:t>
      </w:r>
      <w:r w:rsidRPr="00525A42">
        <w:rPr>
          <w:rFonts w:cstheme="minorHAnsi"/>
          <w:sz w:val="24"/>
          <w:szCs w:val="24"/>
          <w:lang w:val="en-US"/>
        </w:rPr>
        <w:t>Janine Badr</w:t>
      </w:r>
    </w:p>
    <w:p w14:paraId="10224F2D" w14:textId="77777777" w:rsidR="009E4029" w:rsidRDefault="009E4029" w:rsidP="003616DF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</w:p>
    <w:p w14:paraId="54A43DBC" w14:textId="3E02E545" w:rsidR="003616DF" w:rsidRPr="00F21757" w:rsidRDefault="003616DF" w:rsidP="003616DF">
      <w:pPr>
        <w:spacing w:after="0" w:line="240" w:lineRule="auto"/>
        <w:jc w:val="both"/>
        <w:rPr>
          <w:sz w:val="24"/>
          <w:szCs w:val="24"/>
          <w:lang w:val="en-CA"/>
        </w:rPr>
      </w:pPr>
      <w:r w:rsidRPr="00F21757">
        <w:rPr>
          <w:rFonts w:cstheme="minorHAnsi"/>
          <w:sz w:val="24"/>
          <w:szCs w:val="24"/>
          <w:lang w:val="en-CA"/>
        </w:rPr>
        <w:t>In this study, whereas two research constructs are modeled as being “reflective</w:t>
      </w:r>
      <w:r>
        <w:rPr>
          <w:rFonts w:cstheme="minorHAnsi"/>
          <w:sz w:val="24"/>
          <w:szCs w:val="24"/>
          <w:lang w:val="en-CA"/>
        </w:rPr>
        <w:t>”</w:t>
      </w:r>
      <w:r w:rsidRPr="00F21757">
        <w:rPr>
          <w:rFonts w:cstheme="minorHAnsi"/>
          <w:sz w:val="24"/>
          <w:szCs w:val="24"/>
          <w:lang w:val="en-CA"/>
        </w:rPr>
        <w:t xml:space="preserve"> (</w:t>
      </w:r>
      <w:r>
        <w:rPr>
          <w:rFonts w:cstheme="minorHAnsi"/>
          <w:sz w:val="24"/>
          <w:szCs w:val="24"/>
          <w:lang w:val="en-CA"/>
        </w:rPr>
        <w:t>r</w:t>
      </w:r>
      <w:r w:rsidRPr="00F21757">
        <w:rPr>
          <w:rFonts w:cstheme="minorHAnsi"/>
          <w:sz w:val="24"/>
          <w:szCs w:val="24"/>
          <w:lang w:val="en-CA"/>
        </w:rPr>
        <w:t xml:space="preserve">outinization of digital health, </w:t>
      </w:r>
      <w:r>
        <w:rPr>
          <w:rFonts w:cstheme="minorHAnsi"/>
          <w:sz w:val="24"/>
          <w:szCs w:val="24"/>
          <w:lang w:val="en-CA"/>
        </w:rPr>
        <w:t>i</w:t>
      </w:r>
      <w:r w:rsidRPr="00F21757">
        <w:rPr>
          <w:rFonts w:cstheme="minorHAnsi"/>
          <w:sz w:val="24"/>
          <w:szCs w:val="24"/>
          <w:lang w:val="en-CA"/>
        </w:rPr>
        <w:t>nfusion of digital health), the three other constructs are modeled as being “formative</w:t>
      </w:r>
      <w:r>
        <w:rPr>
          <w:rFonts w:cstheme="minorHAnsi"/>
          <w:sz w:val="24"/>
          <w:szCs w:val="24"/>
          <w:lang w:val="en-CA"/>
        </w:rPr>
        <w:t>”</w:t>
      </w:r>
      <w:r w:rsidRPr="00F21757">
        <w:rPr>
          <w:rFonts w:cstheme="minorHAnsi"/>
          <w:sz w:val="24"/>
          <w:szCs w:val="24"/>
          <w:lang w:val="en-CA"/>
        </w:rPr>
        <w:t xml:space="preserve"> (</w:t>
      </w:r>
      <w:r>
        <w:rPr>
          <w:rFonts w:cstheme="minorHAnsi"/>
          <w:sz w:val="24"/>
          <w:szCs w:val="24"/>
          <w:lang w:val="en-CA"/>
        </w:rPr>
        <w:t>p</w:t>
      </w:r>
      <w:r w:rsidRPr="00F21757">
        <w:rPr>
          <w:rFonts w:cstheme="minorHAnsi"/>
          <w:sz w:val="24"/>
          <w:szCs w:val="24"/>
          <w:lang w:val="en-CA"/>
        </w:rPr>
        <w:t xml:space="preserve">hysician </w:t>
      </w:r>
      <w:r>
        <w:rPr>
          <w:rFonts w:cstheme="minorHAnsi"/>
          <w:sz w:val="24"/>
          <w:szCs w:val="24"/>
          <w:lang w:val="en-CA"/>
        </w:rPr>
        <w:t>c</w:t>
      </w:r>
      <w:r w:rsidRPr="00F21757">
        <w:rPr>
          <w:rFonts w:cstheme="minorHAnsi"/>
          <w:sz w:val="24"/>
          <w:szCs w:val="24"/>
          <w:lang w:val="en-CA"/>
        </w:rPr>
        <w:t xml:space="preserve">haracteristics, </w:t>
      </w:r>
      <w:r>
        <w:rPr>
          <w:rFonts w:cstheme="minorHAnsi"/>
          <w:sz w:val="24"/>
          <w:szCs w:val="24"/>
          <w:lang w:val="en-CA"/>
        </w:rPr>
        <w:t>p</w:t>
      </w:r>
      <w:r w:rsidRPr="00F21757">
        <w:rPr>
          <w:rFonts w:cstheme="minorHAnsi"/>
          <w:sz w:val="24"/>
          <w:szCs w:val="24"/>
          <w:lang w:val="en-CA"/>
        </w:rPr>
        <w:t xml:space="preserve">hysician </w:t>
      </w:r>
      <w:r>
        <w:rPr>
          <w:rFonts w:cstheme="minorHAnsi"/>
          <w:sz w:val="24"/>
          <w:szCs w:val="24"/>
          <w:lang w:val="en-CA"/>
        </w:rPr>
        <w:t>m</w:t>
      </w:r>
      <w:r w:rsidRPr="00F21757">
        <w:rPr>
          <w:rFonts w:cstheme="minorHAnsi"/>
          <w:sz w:val="24"/>
          <w:szCs w:val="24"/>
          <w:lang w:val="en-CA"/>
        </w:rPr>
        <w:t xml:space="preserve">otivations, </w:t>
      </w:r>
      <w:r>
        <w:rPr>
          <w:rFonts w:cstheme="minorHAnsi"/>
          <w:sz w:val="24"/>
          <w:szCs w:val="24"/>
          <w:lang w:val="en-CA"/>
        </w:rPr>
        <w:t>m</w:t>
      </w:r>
      <w:r w:rsidRPr="00F21757">
        <w:rPr>
          <w:rFonts w:cstheme="minorHAnsi"/>
          <w:sz w:val="24"/>
          <w:szCs w:val="24"/>
          <w:lang w:val="en-CA"/>
        </w:rPr>
        <w:t xml:space="preserve">edical </w:t>
      </w:r>
      <w:r>
        <w:rPr>
          <w:rFonts w:cstheme="minorHAnsi"/>
          <w:sz w:val="24"/>
          <w:szCs w:val="24"/>
          <w:lang w:val="en-CA"/>
        </w:rPr>
        <w:t>p</w:t>
      </w:r>
      <w:r w:rsidRPr="00F21757">
        <w:rPr>
          <w:rFonts w:cstheme="minorHAnsi"/>
          <w:sz w:val="24"/>
          <w:szCs w:val="24"/>
          <w:lang w:val="en-CA"/>
        </w:rPr>
        <w:t xml:space="preserve">ractice </w:t>
      </w:r>
      <w:r>
        <w:rPr>
          <w:rFonts w:cstheme="minorHAnsi"/>
          <w:sz w:val="24"/>
          <w:szCs w:val="24"/>
          <w:lang w:val="en-CA"/>
        </w:rPr>
        <w:t>c</w:t>
      </w:r>
      <w:r w:rsidRPr="00F21757">
        <w:rPr>
          <w:rFonts w:cstheme="minorHAnsi"/>
          <w:sz w:val="24"/>
          <w:szCs w:val="24"/>
          <w:lang w:val="en-CA"/>
        </w:rPr>
        <w:t>haracteristics) given their composite and multidimensional nature (see Figure 2)</w:t>
      </w:r>
      <w:r w:rsidR="00BE6354">
        <w:rPr>
          <w:rFonts w:cstheme="minorHAnsi"/>
          <w:sz w:val="24"/>
          <w:szCs w:val="24"/>
          <w:lang w:val="en-CA"/>
        </w:rPr>
        <w:t>.</w:t>
      </w:r>
      <w:r w:rsidRPr="00F21757">
        <w:rPr>
          <w:rFonts w:cstheme="minorHAnsi"/>
          <w:sz w:val="24"/>
          <w:szCs w:val="24"/>
          <w:lang w:val="en-CA"/>
        </w:rPr>
        <w:t xml:space="preserve"> The first step in the data analysis consist</w:t>
      </w:r>
      <w:r>
        <w:rPr>
          <w:rFonts w:cstheme="minorHAnsi"/>
          <w:sz w:val="24"/>
          <w:szCs w:val="24"/>
          <w:lang w:val="en-CA"/>
        </w:rPr>
        <w:t>ed</w:t>
      </w:r>
      <w:r w:rsidRPr="00F21757">
        <w:rPr>
          <w:rFonts w:cstheme="minorHAnsi"/>
          <w:sz w:val="24"/>
          <w:szCs w:val="24"/>
          <w:lang w:val="en-CA"/>
        </w:rPr>
        <w:t xml:space="preserve"> of simultaneously estimating the measurement and theoretical models using the PLS-SEM technique. The metric properties of the five research constructs </w:t>
      </w:r>
      <w:r>
        <w:rPr>
          <w:rFonts w:cstheme="minorHAnsi"/>
          <w:sz w:val="24"/>
          <w:szCs w:val="24"/>
          <w:lang w:val="en-CA"/>
        </w:rPr>
        <w:t>were</w:t>
      </w:r>
      <w:r w:rsidRPr="00F21757">
        <w:rPr>
          <w:rFonts w:cstheme="minorHAnsi"/>
          <w:sz w:val="24"/>
          <w:szCs w:val="24"/>
          <w:lang w:val="en-CA"/>
        </w:rPr>
        <w:t xml:space="preserve"> thus assessed within the context of the theoretical model. </w:t>
      </w:r>
      <w:r w:rsidRPr="00F21757">
        <w:rPr>
          <w:rFonts w:cstheme="minorHAnsi"/>
          <w:bCs/>
          <w:sz w:val="24"/>
          <w:szCs w:val="24"/>
          <w:lang w:val="en-CA"/>
        </w:rPr>
        <w:t xml:space="preserve">As the standard reliability and validity criteria applicable to reflective constructs do not apply to formative constructs, one must first </w:t>
      </w:r>
      <w:r>
        <w:rPr>
          <w:rFonts w:cstheme="minorHAnsi"/>
          <w:bCs/>
          <w:sz w:val="24"/>
          <w:szCs w:val="24"/>
          <w:lang w:val="en-CA"/>
        </w:rPr>
        <w:t>confirm the absence of any</w:t>
      </w:r>
      <w:r w:rsidRPr="00F21757">
        <w:rPr>
          <w:rFonts w:cstheme="minorHAnsi"/>
          <w:bCs/>
          <w:sz w:val="24"/>
          <w:szCs w:val="24"/>
          <w:lang w:val="en-CA"/>
        </w:rPr>
        <w:t xml:space="preserve"> multicollinearity among each formative construct’s indicators</w:t>
      </w:r>
      <w:r w:rsidRPr="00F21757">
        <w:rPr>
          <w:rFonts w:cstheme="minorHAnsi"/>
          <w:sz w:val="24"/>
          <w:szCs w:val="24"/>
          <w:lang w:val="en-CA"/>
        </w:rPr>
        <w:t xml:space="preserve">. </w:t>
      </w:r>
      <w:r>
        <w:rPr>
          <w:rFonts w:cstheme="minorHAnsi"/>
          <w:sz w:val="24"/>
          <w:szCs w:val="24"/>
          <w:lang w:val="en-CA"/>
        </w:rPr>
        <w:t>This involves using</w:t>
      </w:r>
      <w:r w:rsidRPr="00F21757">
        <w:rPr>
          <w:rFonts w:cstheme="minorHAnsi"/>
          <w:sz w:val="24"/>
          <w:szCs w:val="24"/>
          <w:lang w:val="en-CA"/>
        </w:rPr>
        <w:t xml:space="preserve"> the variance inflation factor (VIF) statistic, the rule being that the VIF must not be greater than 3.3 in the case of the three formative constructs</w:t>
      </w:r>
      <w:r w:rsidR="00BE6354">
        <w:rPr>
          <w:rFonts w:cstheme="minorHAnsi"/>
          <w:sz w:val="24"/>
          <w:szCs w:val="24"/>
          <w:lang w:val="en-CA"/>
        </w:rPr>
        <w:t>.</w:t>
      </w:r>
      <w:r w:rsidRPr="00F21757">
        <w:rPr>
          <w:rFonts w:cstheme="minorHAnsi"/>
          <w:sz w:val="24"/>
          <w:szCs w:val="24"/>
          <w:lang w:val="en-CA"/>
        </w:rPr>
        <w:t xml:space="preserve"> As </w:t>
      </w:r>
      <w:r>
        <w:rPr>
          <w:rFonts w:cstheme="minorHAnsi"/>
          <w:sz w:val="24"/>
          <w:szCs w:val="24"/>
          <w:lang w:val="en-CA"/>
        </w:rPr>
        <w:t>shown</w:t>
      </w:r>
      <w:r w:rsidRPr="00F21757">
        <w:rPr>
          <w:rFonts w:cstheme="minorHAnsi"/>
          <w:sz w:val="24"/>
          <w:szCs w:val="24"/>
          <w:lang w:val="en-CA"/>
        </w:rPr>
        <w:t xml:space="preserve"> in Table 1, the VIF value for all the formative indicators is below this threshold, confirming the absence of any multicollinearity</w:t>
      </w:r>
      <w:r w:rsidRPr="00F21757">
        <w:rPr>
          <w:sz w:val="24"/>
          <w:szCs w:val="24"/>
          <w:lang w:val="en-CA"/>
        </w:rPr>
        <w:t>.</w:t>
      </w:r>
    </w:p>
    <w:p w14:paraId="3BE13701" w14:textId="77777777" w:rsidR="003616DF" w:rsidRPr="00F21757" w:rsidRDefault="003616DF" w:rsidP="003616DF">
      <w:pPr>
        <w:spacing w:after="0" w:line="240" w:lineRule="auto"/>
        <w:jc w:val="both"/>
        <w:rPr>
          <w:sz w:val="24"/>
          <w:szCs w:val="24"/>
          <w:lang w:val="en-CA"/>
        </w:rPr>
      </w:pPr>
    </w:p>
    <w:p w14:paraId="4A07F5CF" w14:textId="77777777" w:rsidR="003616DF" w:rsidRPr="00F21757" w:rsidRDefault="003616DF" w:rsidP="003616DF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  <w:r>
        <w:rPr>
          <w:rFonts w:cstheme="minorHAnsi"/>
          <w:sz w:val="24"/>
          <w:szCs w:val="24"/>
          <w:lang w:val="en-CA"/>
        </w:rPr>
        <w:t>Once</w:t>
      </w:r>
      <w:r w:rsidRPr="00F21757">
        <w:rPr>
          <w:rFonts w:cstheme="minorHAnsi"/>
          <w:sz w:val="24"/>
          <w:szCs w:val="24"/>
          <w:lang w:val="en-CA"/>
        </w:rPr>
        <w:t xml:space="preserve"> the validity of the formative measures</w:t>
      </w:r>
      <w:r>
        <w:rPr>
          <w:rFonts w:cstheme="minorHAnsi"/>
          <w:sz w:val="24"/>
          <w:szCs w:val="24"/>
          <w:lang w:val="en-CA"/>
        </w:rPr>
        <w:t xml:space="preserve"> has been assessed</w:t>
      </w:r>
      <w:r w:rsidRPr="00F21757">
        <w:rPr>
          <w:rFonts w:cstheme="minorHAnsi"/>
          <w:sz w:val="24"/>
          <w:szCs w:val="24"/>
          <w:lang w:val="en-CA"/>
        </w:rPr>
        <w:t xml:space="preserve">, the reliability, predictive validity, and discriminant validity of the two reflective constructs must then be evaluated. As presented in </w:t>
      </w:r>
      <w:r>
        <w:rPr>
          <w:rFonts w:cstheme="minorHAnsi"/>
          <w:sz w:val="24"/>
          <w:szCs w:val="24"/>
          <w:lang w:val="en-CA"/>
        </w:rPr>
        <w:t>Table 2</w:t>
      </w:r>
      <w:r w:rsidRPr="00F21757">
        <w:rPr>
          <w:rFonts w:cstheme="minorHAnsi"/>
          <w:sz w:val="24"/>
          <w:szCs w:val="24"/>
          <w:lang w:val="en-CA"/>
        </w:rPr>
        <w:t xml:space="preserve">, </w:t>
      </w:r>
      <w:r>
        <w:rPr>
          <w:rFonts w:cstheme="minorHAnsi"/>
          <w:sz w:val="24"/>
          <w:szCs w:val="24"/>
          <w:lang w:val="en-CA"/>
        </w:rPr>
        <w:t xml:space="preserve">the </w:t>
      </w:r>
      <w:r w:rsidRPr="00F21757">
        <w:rPr>
          <w:rFonts w:cstheme="minorHAnsi"/>
          <w:sz w:val="24"/>
          <w:szCs w:val="24"/>
          <w:lang w:val="en-CA"/>
        </w:rPr>
        <w:t xml:space="preserve">composite reliability coefficient values </w:t>
      </w:r>
      <w:r>
        <w:rPr>
          <w:rFonts w:cstheme="minorHAnsi"/>
          <w:sz w:val="24"/>
          <w:szCs w:val="24"/>
          <w:lang w:val="en-CA"/>
        </w:rPr>
        <w:t xml:space="preserve">are </w:t>
      </w:r>
      <w:r w:rsidRPr="00F21757">
        <w:rPr>
          <w:rFonts w:cstheme="minorHAnsi"/>
          <w:sz w:val="24"/>
          <w:szCs w:val="24"/>
          <w:lang w:val="en-CA"/>
        </w:rPr>
        <w:t>above the 0.70 threshold, confirm</w:t>
      </w:r>
      <w:r>
        <w:rPr>
          <w:rFonts w:cstheme="minorHAnsi"/>
          <w:sz w:val="24"/>
          <w:szCs w:val="24"/>
          <w:lang w:val="en-CA"/>
        </w:rPr>
        <w:t>ing</w:t>
      </w:r>
      <w:r w:rsidRPr="00F21757">
        <w:rPr>
          <w:rFonts w:cstheme="minorHAnsi"/>
          <w:sz w:val="24"/>
          <w:szCs w:val="24"/>
          <w:lang w:val="en-CA"/>
        </w:rPr>
        <w:t xml:space="preserve"> the internal consistency of these constructs. </w:t>
      </w:r>
      <w:r>
        <w:rPr>
          <w:rFonts w:cstheme="minorHAnsi"/>
          <w:sz w:val="24"/>
          <w:szCs w:val="24"/>
          <w:lang w:val="en-CA"/>
        </w:rPr>
        <w:t>The results</w:t>
      </w:r>
      <w:r w:rsidRPr="00F21757">
        <w:rPr>
          <w:rFonts w:cstheme="minorHAnsi"/>
          <w:sz w:val="24"/>
          <w:szCs w:val="24"/>
          <w:lang w:val="en-CA"/>
        </w:rPr>
        <w:t xml:space="preserve"> also </w:t>
      </w:r>
      <w:r>
        <w:rPr>
          <w:rFonts w:cstheme="minorHAnsi"/>
          <w:sz w:val="24"/>
          <w:szCs w:val="24"/>
          <w:lang w:val="en-CA"/>
        </w:rPr>
        <w:t xml:space="preserve">provide </w:t>
      </w:r>
      <w:r w:rsidRPr="00F21757">
        <w:rPr>
          <w:rFonts w:cstheme="minorHAnsi"/>
          <w:sz w:val="24"/>
          <w:szCs w:val="24"/>
          <w:lang w:val="en-CA"/>
        </w:rPr>
        <w:t>evidence of the convergent validity of the reflective construct because their average variance extracted (AVE) is above the 0.50 threshold.</w:t>
      </w:r>
    </w:p>
    <w:p w14:paraId="2E6DD4E0" w14:textId="77777777" w:rsidR="003616DF" w:rsidRPr="00F21757" w:rsidRDefault="003616DF" w:rsidP="003616DF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</w:p>
    <w:p w14:paraId="468C6493" w14:textId="77777777" w:rsidR="003616DF" w:rsidRPr="00F21757" w:rsidRDefault="003616DF" w:rsidP="003616DF">
      <w:pPr>
        <w:spacing w:after="120" w:line="240" w:lineRule="auto"/>
        <w:jc w:val="center"/>
        <w:rPr>
          <w:b/>
          <w:bCs/>
          <w:sz w:val="24"/>
          <w:szCs w:val="24"/>
          <w:lang w:val="en-CA"/>
        </w:rPr>
      </w:pPr>
      <w:r w:rsidRPr="00F21757">
        <w:rPr>
          <w:b/>
          <w:bCs/>
          <w:sz w:val="24"/>
          <w:szCs w:val="24"/>
          <w:lang w:val="en-CA"/>
        </w:rPr>
        <w:t>Table 2. Reliability and validity of the research constructs</w:t>
      </w: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3009"/>
        <w:gridCol w:w="965"/>
        <w:gridCol w:w="942"/>
        <w:gridCol w:w="3152"/>
      </w:tblGrid>
      <w:tr w:rsidR="003616DF" w:rsidRPr="00F21757" w14:paraId="7FF6FEAE" w14:textId="77777777" w:rsidTr="002966B4">
        <w:trPr>
          <w:trHeight w:val="498"/>
        </w:trPr>
        <w:tc>
          <w:tcPr>
            <w:tcW w:w="3119" w:type="dxa"/>
            <w:tcBorders>
              <w:bottom w:val="single" w:sz="4" w:space="0" w:color="auto"/>
            </w:tcBorders>
          </w:tcPr>
          <w:p w14:paraId="12FB3505" w14:textId="77777777" w:rsidR="003616DF" w:rsidRPr="00F21757" w:rsidRDefault="003616DF" w:rsidP="002966B4">
            <w:pPr>
              <w:jc w:val="both"/>
              <w:rPr>
                <w:b/>
                <w:bCs/>
                <w:sz w:val="20"/>
                <w:szCs w:val="20"/>
                <w:lang w:val="en-CA"/>
              </w:rPr>
            </w:pPr>
            <w:r w:rsidRPr="00F21757">
              <w:rPr>
                <w:b/>
                <w:bCs/>
                <w:sz w:val="20"/>
                <w:szCs w:val="20"/>
                <w:lang w:val="en-CA"/>
              </w:rPr>
              <w:t>Research Constructs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2DBD95" w14:textId="77777777" w:rsidR="003616DF" w:rsidRPr="00F21757" w:rsidRDefault="003616DF" w:rsidP="002966B4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F21757">
              <w:rPr>
                <w:b/>
                <w:b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F21757">
              <w:rPr>
                <w:b/>
                <w:bCs/>
                <w:sz w:val="20"/>
                <w:szCs w:val="20"/>
                <w:lang w:val="en-CA"/>
              </w:rPr>
              <w:t>c.r.</w:t>
            </w:r>
            <w:r w:rsidRPr="00F21757">
              <w:rPr>
                <w:sz w:val="20"/>
                <w:szCs w:val="20"/>
                <w:vertAlign w:val="superscript"/>
                <w:lang w:val="en-CA"/>
              </w:rPr>
              <w:t>a</w:t>
            </w:r>
            <w:proofErr w:type="spellEnd"/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7CEE2E1" w14:textId="77777777" w:rsidR="003616DF" w:rsidRPr="00F21757" w:rsidRDefault="003616DF" w:rsidP="002966B4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F21757">
              <w:rPr>
                <w:b/>
                <w:b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F21757">
              <w:rPr>
                <w:b/>
                <w:bCs/>
                <w:sz w:val="20"/>
                <w:szCs w:val="20"/>
                <w:lang w:val="en-CA"/>
              </w:rPr>
              <w:t>AVE</w:t>
            </w:r>
            <w:r w:rsidRPr="00F21757">
              <w:rPr>
                <w:sz w:val="20"/>
                <w:szCs w:val="20"/>
                <w:vertAlign w:val="superscript"/>
                <w:lang w:val="en-CA"/>
              </w:rPr>
              <w:t>b</w:t>
            </w:r>
            <w:proofErr w:type="spellEnd"/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36E2C534" w14:textId="77777777" w:rsidR="003616DF" w:rsidRPr="00F21757" w:rsidRDefault="003616DF" w:rsidP="002966B4">
            <w:pPr>
              <w:rPr>
                <w:b/>
                <w:bCs/>
                <w:sz w:val="20"/>
                <w:szCs w:val="20"/>
                <w:lang w:val="en-CA"/>
              </w:rPr>
            </w:pPr>
            <w:r w:rsidRPr="00F21757">
              <w:rPr>
                <w:b/>
                <w:bCs/>
                <w:sz w:val="20"/>
                <w:szCs w:val="20"/>
                <w:lang w:val="en-CA"/>
              </w:rPr>
              <w:t xml:space="preserve">                Correlation matrix</w:t>
            </w:r>
          </w:p>
          <w:p w14:paraId="34B43236" w14:textId="77777777" w:rsidR="003616DF" w:rsidRPr="00F21757" w:rsidRDefault="003616DF" w:rsidP="002966B4">
            <w:pPr>
              <w:rPr>
                <w:sz w:val="20"/>
                <w:szCs w:val="20"/>
                <w:lang w:val="en-CA"/>
              </w:rPr>
            </w:pPr>
            <w:r w:rsidRPr="00F21757">
              <w:rPr>
                <w:b/>
                <w:bCs/>
                <w:sz w:val="20"/>
                <w:szCs w:val="20"/>
                <w:lang w:val="en-CA"/>
              </w:rPr>
              <w:t xml:space="preserve">  </w:t>
            </w:r>
            <w:r w:rsidRPr="00F21757">
              <w:rPr>
                <w:sz w:val="20"/>
                <w:szCs w:val="20"/>
                <w:lang w:val="en-CA"/>
              </w:rPr>
              <w:t>1.             2.           3.            4.           5.</w:t>
            </w:r>
          </w:p>
        </w:tc>
      </w:tr>
      <w:tr w:rsidR="003616DF" w:rsidRPr="00F21757" w14:paraId="190490A8" w14:textId="77777777" w:rsidTr="002966B4">
        <w:tc>
          <w:tcPr>
            <w:tcW w:w="3119" w:type="dxa"/>
            <w:tcBorders>
              <w:bottom w:val="nil"/>
            </w:tcBorders>
          </w:tcPr>
          <w:p w14:paraId="41955AD6" w14:textId="77777777" w:rsidR="003616DF" w:rsidRPr="00F21757" w:rsidRDefault="003616DF" w:rsidP="002966B4">
            <w:pPr>
              <w:spacing w:before="20" w:after="20"/>
              <w:jc w:val="both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1. Digital Health Routinization</w:t>
            </w:r>
          </w:p>
        </w:tc>
        <w:tc>
          <w:tcPr>
            <w:tcW w:w="992" w:type="dxa"/>
            <w:tcBorders>
              <w:bottom w:val="nil"/>
            </w:tcBorders>
          </w:tcPr>
          <w:p w14:paraId="19CAA6E0" w14:textId="77777777" w:rsidR="003616DF" w:rsidRPr="00F21757" w:rsidRDefault="003616DF" w:rsidP="002966B4">
            <w:pPr>
              <w:spacing w:before="20" w:after="20"/>
              <w:jc w:val="center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0.80</w:t>
            </w:r>
          </w:p>
        </w:tc>
        <w:tc>
          <w:tcPr>
            <w:tcW w:w="964" w:type="dxa"/>
            <w:tcBorders>
              <w:bottom w:val="nil"/>
            </w:tcBorders>
          </w:tcPr>
          <w:p w14:paraId="0E709EC5" w14:textId="77777777" w:rsidR="003616DF" w:rsidRPr="00F21757" w:rsidRDefault="003616DF" w:rsidP="002966B4">
            <w:pPr>
              <w:spacing w:before="20" w:after="20"/>
              <w:jc w:val="center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0.58</w:t>
            </w:r>
          </w:p>
        </w:tc>
        <w:tc>
          <w:tcPr>
            <w:tcW w:w="3289" w:type="dxa"/>
            <w:tcBorders>
              <w:bottom w:val="nil"/>
            </w:tcBorders>
          </w:tcPr>
          <w:p w14:paraId="1187924F" w14:textId="77777777" w:rsidR="003616DF" w:rsidRPr="00F21757" w:rsidRDefault="003616DF" w:rsidP="002966B4">
            <w:pPr>
              <w:spacing w:before="20" w:after="20"/>
              <w:jc w:val="both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0.76</w:t>
            </w:r>
            <w:r w:rsidRPr="00F21757">
              <w:rPr>
                <w:sz w:val="20"/>
                <w:szCs w:val="20"/>
                <w:vertAlign w:val="superscript"/>
                <w:lang w:val="en-CA"/>
              </w:rPr>
              <w:t>c</w:t>
            </w:r>
          </w:p>
        </w:tc>
      </w:tr>
      <w:tr w:rsidR="003616DF" w:rsidRPr="00F21757" w14:paraId="3C39E610" w14:textId="77777777" w:rsidTr="002966B4">
        <w:tc>
          <w:tcPr>
            <w:tcW w:w="3119" w:type="dxa"/>
            <w:tcBorders>
              <w:top w:val="nil"/>
              <w:bottom w:val="nil"/>
            </w:tcBorders>
          </w:tcPr>
          <w:p w14:paraId="5F2E3A19" w14:textId="77777777" w:rsidR="003616DF" w:rsidRPr="00F21757" w:rsidRDefault="003616DF" w:rsidP="002966B4">
            <w:pPr>
              <w:spacing w:before="20" w:after="20"/>
              <w:jc w:val="both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2. Digital Health Infusion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77AC59" w14:textId="77777777" w:rsidR="003616DF" w:rsidRPr="00F21757" w:rsidRDefault="003616DF" w:rsidP="002966B4">
            <w:pPr>
              <w:spacing w:before="20" w:after="20"/>
              <w:jc w:val="center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0.76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91B8EF4" w14:textId="77777777" w:rsidR="003616DF" w:rsidRPr="00F21757" w:rsidRDefault="003616DF" w:rsidP="002966B4">
            <w:pPr>
              <w:spacing w:before="20" w:after="20"/>
              <w:jc w:val="center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0.53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0147D819" w14:textId="77777777" w:rsidR="003616DF" w:rsidRPr="00F21757" w:rsidRDefault="003616DF" w:rsidP="002966B4">
            <w:pPr>
              <w:spacing w:before="20" w:after="20"/>
              <w:jc w:val="both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0.35       0.73</w:t>
            </w:r>
          </w:p>
        </w:tc>
      </w:tr>
      <w:tr w:rsidR="003616DF" w:rsidRPr="00F21757" w14:paraId="64116007" w14:textId="77777777" w:rsidTr="002966B4">
        <w:tc>
          <w:tcPr>
            <w:tcW w:w="3119" w:type="dxa"/>
            <w:tcBorders>
              <w:top w:val="nil"/>
              <w:bottom w:val="nil"/>
            </w:tcBorders>
          </w:tcPr>
          <w:p w14:paraId="143BC963" w14:textId="77777777" w:rsidR="003616DF" w:rsidRPr="00F21757" w:rsidRDefault="003616DF" w:rsidP="002966B4">
            <w:pPr>
              <w:spacing w:before="20" w:after="20"/>
              <w:jc w:val="both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3. Physician Characteristics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A9842D" w14:textId="77777777" w:rsidR="003616DF" w:rsidRPr="00F21757" w:rsidRDefault="003616DF" w:rsidP="002966B4">
            <w:pPr>
              <w:spacing w:before="20" w:after="20"/>
              <w:jc w:val="center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6408872" w14:textId="77777777" w:rsidR="003616DF" w:rsidRPr="00F21757" w:rsidRDefault="003616DF" w:rsidP="002966B4">
            <w:pPr>
              <w:spacing w:before="20" w:after="20"/>
              <w:jc w:val="center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-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74BF2593" w14:textId="77777777" w:rsidR="003616DF" w:rsidRPr="00F21757" w:rsidRDefault="003616DF" w:rsidP="002966B4">
            <w:pPr>
              <w:spacing w:before="20" w:after="20"/>
              <w:jc w:val="both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0.55       0.22           -</w:t>
            </w:r>
          </w:p>
        </w:tc>
      </w:tr>
      <w:tr w:rsidR="003616DF" w:rsidRPr="00F21757" w14:paraId="6E0F8E8E" w14:textId="77777777" w:rsidTr="002966B4">
        <w:tc>
          <w:tcPr>
            <w:tcW w:w="3119" w:type="dxa"/>
            <w:tcBorders>
              <w:top w:val="nil"/>
              <w:bottom w:val="nil"/>
            </w:tcBorders>
          </w:tcPr>
          <w:p w14:paraId="099DCE7A" w14:textId="77777777" w:rsidR="003616DF" w:rsidRPr="00F21757" w:rsidRDefault="003616DF" w:rsidP="002966B4">
            <w:pPr>
              <w:spacing w:before="20" w:after="20"/>
              <w:jc w:val="both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4. Physician Motivations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06E14F" w14:textId="77777777" w:rsidR="003616DF" w:rsidRPr="00F21757" w:rsidRDefault="003616DF" w:rsidP="002966B4">
            <w:pPr>
              <w:spacing w:before="20" w:after="20"/>
              <w:jc w:val="center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0FE5603" w14:textId="77777777" w:rsidR="003616DF" w:rsidRPr="00F21757" w:rsidRDefault="003616DF" w:rsidP="002966B4">
            <w:pPr>
              <w:spacing w:before="20" w:after="20"/>
              <w:jc w:val="center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-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836816A" w14:textId="77777777" w:rsidR="003616DF" w:rsidRPr="00F21757" w:rsidRDefault="003616DF" w:rsidP="002966B4">
            <w:pPr>
              <w:spacing w:before="20" w:after="20"/>
              <w:jc w:val="both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0.47       0.40        0.41          -</w:t>
            </w:r>
          </w:p>
        </w:tc>
      </w:tr>
      <w:tr w:rsidR="003616DF" w:rsidRPr="00F21757" w14:paraId="56FB4647" w14:textId="77777777" w:rsidTr="002966B4">
        <w:tc>
          <w:tcPr>
            <w:tcW w:w="3119" w:type="dxa"/>
            <w:tcBorders>
              <w:top w:val="nil"/>
            </w:tcBorders>
          </w:tcPr>
          <w:p w14:paraId="65DCCFA0" w14:textId="77777777" w:rsidR="003616DF" w:rsidRPr="00F21757" w:rsidRDefault="003616DF" w:rsidP="002966B4">
            <w:pPr>
              <w:spacing w:before="20" w:after="20"/>
              <w:jc w:val="both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5. Medical Practice Characteristics</w:t>
            </w:r>
          </w:p>
        </w:tc>
        <w:tc>
          <w:tcPr>
            <w:tcW w:w="992" w:type="dxa"/>
            <w:tcBorders>
              <w:top w:val="nil"/>
            </w:tcBorders>
          </w:tcPr>
          <w:p w14:paraId="631618A5" w14:textId="77777777" w:rsidR="003616DF" w:rsidRPr="00F21757" w:rsidRDefault="003616DF" w:rsidP="002966B4">
            <w:pPr>
              <w:spacing w:before="20" w:after="20"/>
              <w:jc w:val="center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14:paraId="61BC64E1" w14:textId="77777777" w:rsidR="003616DF" w:rsidRPr="00F21757" w:rsidRDefault="003616DF" w:rsidP="002966B4">
            <w:pPr>
              <w:spacing w:before="20" w:after="20"/>
              <w:jc w:val="center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-</w:t>
            </w:r>
          </w:p>
        </w:tc>
        <w:tc>
          <w:tcPr>
            <w:tcW w:w="3289" w:type="dxa"/>
            <w:tcBorders>
              <w:top w:val="nil"/>
            </w:tcBorders>
          </w:tcPr>
          <w:p w14:paraId="1376FE02" w14:textId="77777777" w:rsidR="003616DF" w:rsidRPr="00F21757" w:rsidRDefault="003616DF" w:rsidP="002966B4">
            <w:pPr>
              <w:spacing w:before="20" w:after="20"/>
              <w:jc w:val="both"/>
              <w:rPr>
                <w:sz w:val="20"/>
                <w:szCs w:val="20"/>
                <w:lang w:val="en-CA"/>
              </w:rPr>
            </w:pPr>
            <w:r w:rsidRPr="00F21757">
              <w:rPr>
                <w:sz w:val="20"/>
                <w:szCs w:val="20"/>
                <w:lang w:val="en-CA"/>
              </w:rPr>
              <w:t>0.14       0.26        0.09        0.24         -</w:t>
            </w:r>
          </w:p>
        </w:tc>
      </w:tr>
    </w:tbl>
    <w:p w14:paraId="00C3EA70" w14:textId="77777777" w:rsidR="003616DF" w:rsidRPr="00F21757" w:rsidRDefault="003616DF" w:rsidP="003616DF">
      <w:pPr>
        <w:spacing w:before="120" w:after="0" w:line="240" w:lineRule="auto"/>
        <w:ind w:firstLine="709"/>
        <w:rPr>
          <w:rFonts w:cstheme="minorHAnsi"/>
          <w:bCs/>
          <w:color w:val="232323"/>
          <w:sz w:val="18"/>
          <w:szCs w:val="18"/>
          <w:lang w:val="en-CA"/>
        </w:rPr>
      </w:pPr>
      <w:proofErr w:type="spellStart"/>
      <w:r w:rsidRPr="00F21757">
        <w:rPr>
          <w:rFonts w:cstheme="minorHAnsi"/>
          <w:bCs/>
          <w:color w:val="232323"/>
          <w:sz w:val="18"/>
          <w:szCs w:val="18"/>
          <w:vertAlign w:val="superscript"/>
          <w:lang w:val="en-CA"/>
        </w:rPr>
        <w:t>a</w:t>
      </w:r>
      <w:r w:rsidRPr="00F21757">
        <w:rPr>
          <w:rFonts w:cstheme="minorHAnsi"/>
          <w:bCs/>
          <w:color w:val="232323"/>
          <w:sz w:val="18"/>
          <w:szCs w:val="18"/>
          <w:lang w:val="en-CA"/>
        </w:rPr>
        <w:t>composite</w:t>
      </w:r>
      <w:proofErr w:type="spellEnd"/>
      <w:r w:rsidRPr="00F21757">
        <w:rPr>
          <w:rFonts w:cstheme="minorHAnsi"/>
          <w:bCs/>
          <w:color w:val="232323"/>
          <w:sz w:val="18"/>
          <w:szCs w:val="18"/>
          <w:lang w:val="en-CA"/>
        </w:rPr>
        <w:t xml:space="preserve"> reliability of a reflective construct </w:t>
      </w:r>
      <w:r w:rsidRPr="00F21757">
        <w:rPr>
          <w:rFonts w:cstheme="minorHAnsi"/>
          <w:sz w:val="18"/>
          <w:szCs w:val="18"/>
          <w:lang w:val="en-CA"/>
        </w:rPr>
        <w:t>= (</w:t>
      </w:r>
      <w:r w:rsidRPr="00F21757">
        <w:rPr>
          <w:rFonts w:cstheme="minorHAnsi"/>
          <w:sz w:val="18"/>
          <w:szCs w:val="18"/>
          <w:lang w:val="en-CA"/>
        </w:rPr>
        <w:sym w:font="Symbol" w:char="F053"/>
      </w:r>
      <w:r w:rsidRPr="00F21757">
        <w:rPr>
          <w:rFonts w:cstheme="minorHAnsi"/>
          <w:sz w:val="18"/>
          <w:szCs w:val="18"/>
          <w:lang w:val="en-CA"/>
        </w:rPr>
        <w:sym w:font="Symbol" w:char="F06C"/>
      </w:r>
      <w:proofErr w:type="spellStart"/>
      <w:r w:rsidRPr="00F21757">
        <w:rPr>
          <w:rFonts w:cstheme="minorHAnsi"/>
          <w:sz w:val="18"/>
          <w:szCs w:val="18"/>
          <w:vertAlign w:val="subscript"/>
          <w:lang w:val="en-CA"/>
        </w:rPr>
        <w:t>i</w:t>
      </w:r>
      <w:proofErr w:type="spellEnd"/>
      <w:r w:rsidRPr="00F21757">
        <w:rPr>
          <w:rFonts w:cstheme="minorHAnsi"/>
          <w:sz w:val="18"/>
          <w:szCs w:val="18"/>
          <w:lang w:val="en-CA"/>
        </w:rPr>
        <w:t>)</w:t>
      </w:r>
      <w:r w:rsidRPr="00F21757">
        <w:rPr>
          <w:rFonts w:cstheme="minorHAnsi"/>
          <w:sz w:val="18"/>
          <w:szCs w:val="18"/>
          <w:vertAlign w:val="superscript"/>
          <w:lang w:val="en-CA"/>
        </w:rPr>
        <w:t>2</w:t>
      </w:r>
      <w:r w:rsidRPr="00F21757">
        <w:rPr>
          <w:rFonts w:cstheme="minorHAnsi"/>
          <w:sz w:val="18"/>
          <w:szCs w:val="18"/>
          <w:lang w:val="en-CA"/>
        </w:rPr>
        <w:t>/((</w:t>
      </w:r>
      <w:r w:rsidRPr="00F21757">
        <w:rPr>
          <w:rFonts w:cstheme="minorHAnsi"/>
          <w:sz w:val="18"/>
          <w:szCs w:val="18"/>
          <w:lang w:val="en-CA"/>
        </w:rPr>
        <w:sym w:font="Symbol" w:char="F053"/>
      </w:r>
      <w:r w:rsidRPr="00F21757">
        <w:rPr>
          <w:rFonts w:cstheme="minorHAnsi"/>
          <w:sz w:val="18"/>
          <w:szCs w:val="18"/>
          <w:lang w:val="en-CA"/>
        </w:rPr>
        <w:sym w:font="Symbol" w:char="F06C"/>
      </w:r>
      <w:proofErr w:type="spellStart"/>
      <w:r w:rsidRPr="00F21757">
        <w:rPr>
          <w:rFonts w:cstheme="minorHAnsi"/>
          <w:sz w:val="18"/>
          <w:szCs w:val="18"/>
          <w:vertAlign w:val="subscript"/>
          <w:lang w:val="en-CA"/>
        </w:rPr>
        <w:t>i</w:t>
      </w:r>
      <w:proofErr w:type="spellEnd"/>
      <w:r w:rsidRPr="00F21757">
        <w:rPr>
          <w:rFonts w:cstheme="minorHAnsi"/>
          <w:sz w:val="18"/>
          <w:szCs w:val="18"/>
          <w:lang w:val="en-CA"/>
        </w:rPr>
        <w:t>)</w:t>
      </w:r>
      <w:r w:rsidRPr="00F21757">
        <w:rPr>
          <w:rFonts w:cstheme="minorHAnsi"/>
          <w:sz w:val="18"/>
          <w:szCs w:val="18"/>
          <w:vertAlign w:val="superscript"/>
          <w:lang w:val="en-CA"/>
        </w:rPr>
        <w:t>2</w:t>
      </w:r>
      <w:r w:rsidRPr="00F21757">
        <w:rPr>
          <w:rFonts w:cstheme="minorHAnsi"/>
          <w:sz w:val="18"/>
          <w:szCs w:val="18"/>
          <w:lang w:val="en-CA"/>
        </w:rPr>
        <w:t>+</w:t>
      </w:r>
      <w:r w:rsidRPr="00F21757">
        <w:rPr>
          <w:rFonts w:cstheme="minorHAnsi"/>
          <w:sz w:val="18"/>
          <w:szCs w:val="18"/>
          <w:lang w:val="en-CA"/>
        </w:rPr>
        <w:sym w:font="Symbol" w:char="F053"/>
      </w:r>
      <w:r w:rsidRPr="00F21757">
        <w:rPr>
          <w:rFonts w:cstheme="minorHAnsi"/>
          <w:sz w:val="18"/>
          <w:szCs w:val="18"/>
          <w:lang w:val="en-CA"/>
        </w:rPr>
        <w:t>(1-</w:t>
      </w:r>
      <w:r w:rsidRPr="00F21757">
        <w:rPr>
          <w:rFonts w:cstheme="minorHAnsi"/>
          <w:sz w:val="18"/>
          <w:szCs w:val="18"/>
          <w:lang w:val="en-CA"/>
        </w:rPr>
        <w:sym w:font="Symbol" w:char="F06C"/>
      </w:r>
      <w:r w:rsidRPr="00F21757">
        <w:rPr>
          <w:rFonts w:cstheme="minorHAnsi"/>
          <w:sz w:val="18"/>
          <w:szCs w:val="18"/>
          <w:vertAlign w:val="subscript"/>
          <w:lang w:val="en-CA"/>
        </w:rPr>
        <w:t>i</w:t>
      </w:r>
      <w:r w:rsidRPr="00F21757">
        <w:rPr>
          <w:rFonts w:cstheme="minorHAnsi"/>
          <w:sz w:val="18"/>
          <w:szCs w:val="18"/>
          <w:vertAlign w:val="superscript"/>
          <w:lang w:val="en-CA"/>
        </w:rPr>
        <w:t>2</w:t>
      </w:r>
      <w:r w:rsidRPr="00F21757">
        <w:rPr>
          <w:rFonts w:cstheme="minorHAnsi"/>
          <w:sz w:val="18"/>
          <w:szCs w:val="18"/>
          <w:lang w:val="en-CA"/>
        </w:rPr>
        <w:t>))</w:t>
      </w:r>
      <w:r w:rsidRPr="00F21757">
        <w:rPr>
          <w:rFonts w:cstheme="minorHAnsi"/>
          <w:bCs/>
          <w:color w:val="232323"/>
          <w:sz w:val="18"/>
          <w:szCs w:val="18"/>
          <w:lang w:val="en-CA"/>
        </w:rPr>
        <w:t xml:space="preserve"> </w:t>
      </w:r>
    </w:p>
    <w:p w14:paraId="77057997" w14:textId="77777777" w:rsidR="003616DF" w:rsidRPr="00F21757" w:rsidRDefault="003616DF" w:rsidP="003616DF">
      <w:pPr>
        <w:spacing w:after="0" w:line="240" w:lineRule="auto"/>
        <w:ind w:firstLine="709"/>
        <w:rPr>
          <w:rFonts w:cstheme="minorHAnsi"/>
          <w:bCs/>
          <w:color w:val="232323"/>
          <w:sz w:val="18"/>
          <w:szCs w:val="18"/>
          <w:lang w:val="en-CA"/>
        </w:rPr>
      </w:pPr>
      <w:proofErr w:type="spellStart"/>
      <w:r w:rsidRPr="00F21757">
        <w:rPr>
          <w:rFonts w:cstheme="minorHAnsi"/>
          <w:bCs/>
          <w:color w:val="232323"/>
          <w:sz w:val="18"/>
          <w:szCs w:val="18"/>
          <w:vertAlign w:val="superscript"/>
          <w:lang w:val="en-CA"/>
        </w:rPr>
        <w:t>b</w:t>
      </w:r>
      <w:r w:rsidRPr="00F21757">
        <w:rPr>
          <w:rFonts w:cstheme="minorHAnsi"/>
          <w:sz w:val="18"/>
          <w:szCs w:val="18"/>
          <w:lang w:val="en-CA"/>
        </w:rPr>
        <w:t>average</w:t>
      </w:r>
      <w:proofErr w:type="spellEnd"/>
      <w:r w:rsidRPr="00F21757">
        <w:rPr>
          <w:rFonts w:cstheme="minorHAnsi"/>
          <w:sz w:val="18"/>
          <w:szCs w:val="18"/>
          <w:lang w:val="en-CA"/>
        </w:rPr>
        <w:t xml:space="preserve"> variance extracted (by a construct from its reflective indicators) = </w:t>
      </w:r>
      <w:r w:rsidRPr="00F21757">
        <w:rPr>
          <w:rFonts w:cstheme="minorHAnsi"/>
          <w:sz w:val="18"/>
          <w:szCs w:val="18"/>
          <w:lang w:val="en-CA"/>
        </w:rPr>
        <w:sym w:font="Symbol" w:char="F053"/>
      </w:r>
      <w:r w:rsidRPr="00F21757">
        <w:rPr>
          <w:rFonts w:cstheme="minorHAnsi"/>
          <w:sz w:val="18"/>
          <w:szCs w:val="18"/>
          <w:lang w:val="en-CA"/>
        </w:rPr>
        <w:sym w:font="Symbol" w:char="F06C"/>
      </w:r>
      <w:r w:rsidRPr="00F21757">
        <w:rPr>
          <w:rFonts w:cstheme="minorHAnsi"/>
          <w:sz w:val="18"/>
          <w:szCs w:val="18"/>
          <w:vertAlign w:val="subscript"/>
          <w:lang w:val="en-CA"/>
        </w:rPr>
        <w:t>i</w:t>
      </w:r>
      <w:r w:rsidRPr="00F21757">
        <w:rPr>
          <w:rFonts w:cstheme="minorHAnsi"/>
          <w:sz w:val="18"/>
          <w:szCs w:val="18"/>
          <w:vertAlign w:val="superscript"/>
          <w:lang w:val="en-CA"/>
        </w:rPr>
        <w:t>2</w:t>
      </w:r>
      <w:r w:rsidRPr="00F21757">
        <w:rPr>
          <w:rFonts w:cstheme="minorHAnsi"/>
          <w:sz w:val="18"/>
          <w:szCs w:val="18"/>
          <w:lang w:val="en-CA"/>
        </w:rPr>
        <w:t>/n</w:t>
      </w:r>
      <w:r w:rsidRPr="00F21757">
        <w:rPr>
          <w:rFonts w:cstheme="minorHAnsi"/>
          <w:bCs/>
          <w:color w:val="232323"/>
          <w:sz w:val="18"/>
          <w:szCs w:val="18"/>
          <w:lang w:val="en-CA"/>
        </w:rPr>
        <w:t xml:space="preserve"> </w:t>
      </w:r>
    </w:p>
    <w:p w14:paraId="28168AD2" w14:textId="77777777" w:rsidR="003616DF" w:rsidRPr="00F21757" w:rsidRDefault="003616DF" w:rsidP="003616DF">
      <w:pPr>
        <w:spacing w:after="0" w:line="240" w:lineRule="auto"/>
        <w:ind w:firstLine="709"/>
        <w:rPr>
          <w:rFonts w:cstheme="minorHAnsi"/>
          <w:sz w:val="18"/>
          <w:szCs w:val="18"/>
          <w:lang w:val="en-CA"/>
        </w:rPr>
      </w:pPr>
      <w:proofErr w:type="spellStart"/>
      <w:r w:rsidRPr="00F21757">
        <w:rPr>
          <w:rFonts w:cstheme="minorHAnsi"/>
          <w:sz w:val="18"/>
          <w:szCs w:val="18"/>
          <w:vertAlign w:val="superscript"/>
          <w:lang w:val="en-CA"/>
        </w:rPr>
        <w:t>c</w:t>
      </w:r>
      <w:r w:rsidRPr="00F21757">
        <w:rPr>
          <w:rFonts w:cstheme="minorHAnsi"/>
          <w:sz w:val="18"/>
          <w:szCs w:val="18"/>
          <w:lang w:val="en-CA"/>
        </w:rPr>
        <w:t>diagonal</w:t>
      </w:r>
      <w:proofErr w:type="spellEnd"/>
      <w:r w:rsidRPr="00F21757">
        <w:rPr>
          <w:rFonts w:cstheme="minorHAnsi"/>
          <w:sz w:val="18"/>
          <w:szCs w:val="18"/>
          <w:lang w:val="en-CA"/>
        </w:rPr>
        <w:t>: (AVE)</w:t>
      </w:r>
      <w:r w:rsidRPr="00F21757">
        <w:rPr>
          <w:rFonts w:cstheme="minorHAnsi"/>
          <w:sz w:val="18"/>
          <w:szCs w:val="18"/>
          <w:vertAlign w:val="superscript"/>
          <w:lang w:val="en-CA"/>
        </w:rPr>
        <w:t>1/2</w:t>
      </w:r>
      <w:r w:rsidRPr="00F21757">
        <w:rPr>
          <w:rFonts w:cstheme="minorHAnsi"/>
          <w:sz w:val="18"/>
          <w:szCs w:val="18"/>
          <w:lang w:val="en-CA"/>
        </w:rPr>
        <w:t xml:space="preserve"> = (</w:t>
      </w:r>
      <w:r w:rsidRPr="00F21757">
        <w:rPr>
          <w:rFonts w:cstheme="minorHAnsi"/>
          <w:sz w:val="18"/>
          <w:szCs w:val="18"/>
          <w:lang w:val="en-CA"/>
        </w:rPr>
        <w:sym w:font="Symbol" w:char="F053"/>
      </w:r>
      <w:r w:rsidRPr="00F21757">
        <w:rPr>
          <w:rFonts w:cstheme="minorHAnsi"/>
          <w:sz w:val="18"/>
          <w:szCs w:val="18"/>
          <w:lang w:val="en-CA"/>
        </w:rPr>
        <w:sym w:font="Symbol" w:char="F06C"/>
      </w:r>
      <w:r w:rsidRPr="00F21757">
        <w:rPr>
          <w:rFonts w:cstheme="minorHAnsi"/>
          <w:sz w:val="18"/>
          <w:szCs w:val="18"/>
          <w:vertAlign w:val="subscript"/>
          <w:lang w:val="en-CA"/>
        </w:rPr>
        <w:t>i</w:t>
      </w:r>
      <w:r w:rsidRPr="00F21757">
        <w:rPr>
          <w:rFonts w:cstheme="minorHAnsi"/>
          <w:sz w:val="18"/>
          <w:szCs w:val="18"/>
          <w:vertAlign w:val="superscript"/>
          <w:lang w:val="en-CA"/>
        </w:rPr>
        <w:t>2</w:t>
      </w:r>
      <w:r w:rsidRPr="00F21757">
        <w:rPr>
          <w:rFonts w:cstheme="minorHAnsi"/>
          <w:sz w:val="18"/>
          <w:szCs w:val="18"/>
          <w:lang w:val="en-CA"/>
        </w:rPr>
        <w:t>/n)</w:t>
      </w:r>
      <w:r w:rsidRPr="00F21757">
        <w:rPr>
          <w:rFonts w:cstheme="minorHAnsi"/>
          <w:sz w:val="18"/>
          <w:szCs w:val="18"/>
          <w:vertAlign w:val="superscript"/>
          <w:lang w:val="en-CA"/>
        </w:rPr>
        <w:t>1/2</w:t>
      </w:r>
      <w:r w:rsidRPr="00F21757">
        <w:rPr>
          <w:rFonts w:cstheme="minorHAnsi"/>
          <w:sz w:val="18"/>
          <w:szCs w:val="18"/>
          <w:lang w:val="en-CA"/>
        </w:rPr>
        <w:t xml:space="preserve">    [not applicable to formative constructs]</w:t>
      </w:r>
    </w:p>
    <w:p w14:paraId="03D86E23" w14:textId="77777777" w:rsidR="003616DF" w:rsidRPr="00F21757" w:rsidRDefault="003616DF" w:rsidP="003616DF">
      <w:pPr>
        <w:spacing w:after="0" w:line="240" w:lineRule="auto"/>
        <w:ind w:firstLine="709"/>
        <w:rPr>
          <w:rFonts w:cstheme="minorHAnsi"/>
          <w:sz w:val="18"/>
          <w:szCs w:val="18"/>
          <w:lang w:val="en-CA"/>
        </w:rPr>
      </w:pPr>
      <w:r w:rsidRPr="00F21757">
        <w:rPr>
          <w:rFonts w:cstheme="minorHAnsi"/>
          <w:sz w:val="18"/>
          <w:szCs w:val="18"/>
          <w:lang w:val="en-CA"/>
        </w:rPr>
        <w:t xml:space="preserve"> </w:t>
      </w:r>
      <w:proofErr w:type="spellStart"/>
      <w:r w:rsidRPr="00F21757">
        <w:rPr>
          <w:rFonts w:cstheme="minorHAnsi"/>
          <w:sz w:val="18"/>
          <w:szCs w:val="18"/>
          <w:lang w:val="en-CA"/>
        </w:rPr>
        <w:t>subdiagonals</w:t>
      </w:r>
      <w:proofErr w:type="spellEnd"/>
      <w:r w:rsidRPr="00F21757">
        <w:rPr>
          <w:rFonts w:cstheme="minorHAnsi"/>
          <w:sz w:val="18"/>
          <w:szCs w:val="18"/>
          <w:lang w:val="en-CA"/>
        </w:rPr>
        <w:t>: correlation = (shared variance between two constructs)</w:t>
      </w:r>
      <w:r w:rsidRPr="00F21757">
        <w:rPr>
          <w:rFonts w:cstheme="minorHAnsi"/>
          <w:sz w:val="18"/>
          <w:szCs w:val="18"/>
          <w:vertAlign w:val="superscript"/>
          <w:lang w:val="en-CA"/>
        </w:rPr>
        <w:t>1/2</w:t>
      </w:r>
    </w:p>
    <w:p w14:paraId="2105F202" w14:textId="77777777" w:rsidR="003616DF" w:rsidRPr="00F21757" w:rsidRDefault="003616DF" w:rsidP="003616DF">
      <w:pPr>
        <w:spacing w:after="0" w:line="240" w:lineRule="auto"/>
        <w:rPr>
          <w:rFonts w:cstheme="minorHAnsi"/>
          <w:sz w:val="24"/>
          <w:szCs w:val="24"/>
          <w:lang w:val="en-CA"/>
        </w:rPr>
      </w:pPr>
    </w:p>
    <w:p w14:paraId="1971DF2F" w14:textId="64717527" w:rsidR="00BE6354" w:rsidRPr="00BE6354" w:rsidRDefault="003616DF" w:rsidP="003616DF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  <w:r w:rsidRPr="00F21757">
        <w:rPr>
          <w:rFonts w:cstheme="minorHAnsi"/>
          <w:sz w:val="24"/>
          <w:szCs w:val="24"/>
          <w:lang w:val="en-CA"/>
        </w:rPr>
        <w:t xml:space="preserve">The last property to be verified is discriminant validity, showing the extent to which each research construct, as measured, is unique and different from the </w:t>
      </w:r>
      <w:r>
        <w:rPr>
          <w:rFonts w:cstheme="minorHAnsi"/>
          <w:sz w:val="24"/>
          <w:szCs w:val="24"/>
          <w:lang w:val="en-CA"/>
        </w:rPr>
        <w:t xml:space="preserve">other </w:t>
      </w:r>
      <w:r w:rsidRPr="00F21757">
        <w:rPr>
          <w:rFonts w:cstheme="minorHAnsi"/>
          <w:sz w:val="24"/>
          <w:szCs w:val="24"/>
          <w:lang w:val="en-CA"/>
        </w:rPr>
        <w:t xml:space="preserve">four. </w:t>
      </w:r>
      <w:r>
        <w:rPr>
          <w:rFonts w:cstheme="minorHAnsi"/>
          <w:sz w:val="24"/>
          <w:szCs w:val="24"/>
          <w:lang w:val="en-CA"/>
        </w:rPr>
        <w:t>Such validity is confirmed for</w:t>
      </w:r>
      <w:r w:rsidRPr="00F21757">
        <w:rPr>
          <w:rFonts w:cstheme="minorHAnsi"/>
          <w:sz w:val="24"/>
          <w:szCs w:val="24"/>
          <w:lang w:val="en-CA"/>
        </w:rPr>
        <w:t xml:space="preserve"> the three formative constructs </w:t>
      </w:r>
      <w:r>
        <w:rPr>
          <w:rFonts w:cstheme="minorHAnsi"/>
          <w:sz w:val="24"/>
          <w:szCs w:val="24"/>
          <w:lang w:val="en-CA"/>
        </w:rPr>
        <w:t xml:space="preserve">by </w:t>
      </w:r>
      <w:r w:rsidRPr="00F21757">
        <w:rPr>
          <w:rFonts w:cstheme="minorHAnsi"/>
          <w:sz w:val="24"/>
          <w:szCs w:val="24"/>
          <w:lang w:val="en-CA"/>
        </w:rPr>
        <w:t xml:space="preserve">the fact that each construct shares less than 50% variance with any other construct (inter-construct correlation </w:t>
      </w:r>
      <w:r>
        <w:rPr>
          <w:rFonts w:cstheme="minorHAnsi"/>
          <w:sz w:val="24"/>
          <w:szCs w:val="24"/>
          <w:lang w:val="en-CA"/>
        </w:rPr>
        <w:t>less than</w:t>
      </w:r>
      <w:r w:rsidRPr="00F21757">
        <w:rPr>
          <w:rFonts w:cstheme="minorHAnsi"/>
          <w:sz w:val="24"/>
          <w:szCs w:val="24"/>
          <w:lang w:val="en-CA"/>
        </w:rPr>
        <w:t xml:space="preserve"> 0.70), </w:t>
      </w:r>
      <w:r w:rsidRPr="00F21757">
        <w:rPr>
          <w:rFonts w:cstheme="minorHAnsi"/>
          <w:sz w:val="24"/>
          <w:szCs w:val="24"/>
          <w:lang w:val="en-CA"/>
        </w:rPr>
        <w:lastRenderedPageBreak/>
        <w:t xml:space="preserve">as </w:t>
      </w:r>
      <w:r>
        <w:rPr>
          <w:rFonts w:cstheme="minorHAnsi"/>
          <w:sz w:val="24"/>
          <w:szCs w:val="24"/>
          <w:lang w:val="en-CA"/>
        </w:rPr>
        <w:t>shown</w:t>
      </w:r>
      <w:r w:rsidRPr="00F21757">
        <w:rPr>
          <w:rFonts w:cstheme="minorHAnsi"/>
          <w:sz w:val="24"/>
          <w:szCs w:val="24"/>
          <w:lang w:val="en-CA"/>
        </w:rPr>
        <w:t xml:space="preserve"> in </w:t>
      </w:r>
      <w:r>
        <w:rPr>
          <w:rFonts w:cstheme="minorHAnsi"/>
          <w:sz w:val="24"/>
          <w:szCs w:val="24"/>
          <w:lang w:val="en-CA"/>
        </w:rPr>
        <w:t>Table 2</w:t>
      </w:r>
      <w:r w:rsidRPr="00F21757">
        <w:rPr>
          <w:rFonts w:cstheme="minorHAnsi"/>
          <w:sz w:val="24"/>
          <w:szCs w:val="24"/>
          <w:lang w:val="en-CA"/>
        </w:rPr>
        <w:t xml:space="preserve">. For the two reflective constructs, discriminant validity is verified when the variance shared by each with any other construct is less than its AVE, </w:t>
      </w:r>
      <w:r>
        <w:rPr>
          <w:rFonts w:cstheme="minorHAnsi"/>
          <w:sz w:val="24"/>
          <w:szCs w:val="24"/>
          <w:lang w:val="en-CA"/>
        </w:rPr>
        <w:t>and this</w:t>
      </w:r>
      <w:r w:rsidRPr="00F21757">
        <w:rPr>
          <w:rFonts w:cstheme="minorHAnsi"/>
          <w:sz w:val="24"/>
          <w:szCs w:val="24"/>
          <w:lang w:val="en-CA"/>
        </w:rPr>
        <w:t xml:space="preserve"> is also confirmed in </w:t>
      </w:r>
      <w:r w:rsidR="00BE6354">
        <w:rPr>
          <w:rFonts w:cstheme="minorHAnsi"/>
          <w:sz w:val="24"/>
          <w:szCs w:val="24"/>
          <w:lang w:val="en-CA"/>
        </w:rPr>
        <w:t>this table.</w:t>
      </w:r>
    </w:p>
    <w:sectPr w:rsidR="00BE6354" w:rsidRPr="00BE63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DF"/>
    <w:rsid w:val="003616DF"/>
    <w:rsid w:val="00832749"/>
    <w:rsid w:val="009E4029"/>
    <w:rsid w:val="00B42BE0"/>
    <w:rsid w:val="00B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7AB6"/>
  <w15:chartTrackingRefBased/>
  <w15:docId w15:val="{25164D47-D25A-4775-8FC7-D2DA7CE6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6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ar"/>
    <w:rsid w:val="003616DF"/>
    <w:pPr>
      <w:spacing w:after="0" w:line="240" w:lineRule="auto"/>
      <w:jc w:val="both"/>
    </w:pPr>
    <w:rPr>
      <w:rFonts w:ascii="Calibri" w:eastAsia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3616DF"/>
    <w:rPr>
      <w:rFonts w:ascii="Calibri" w:eastAsia="Calibri" w:hAnsi="Calibri" w:cs="Calibri"/>
      <w:noProof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pare</dc:creator>
  <cp:keywords/>
  <dc:description/>
  <cp:lastModifiedBy>guy pare</cp:lastModifiedBy>
  <cp:revision>3</cp:revision>
  <dcterms:created xsi:type="dcterms:W3CDTF">2020-12-21T13:47:00Z</dcterms:created>
  <dcterms:modified xsi:type="dcterms:W3CDTF">2021-01-04T13:26:00Z</dcterms:modified>
</cp:coreProperties>
</file>