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6CBD" w:rsidRPr="00DC3183" w:rsidRDefault="00896CBD" w:rsidP="00896CBD">
      <w:pPr>
        <w:rPr>
          <w:rFonts w:ascii="Times New Roman" w:hAnsi="Times New Roman" w:cs="Times New Roman"/>
          <w:b/>
          <w:bCs/>
          <w:sz w:val="24"/>
          <w:szCs w:val="24"/>
          <w:lang w:val="en-US"/>
        </w:rPr>
      </w:pPr>
      <w:r w:rsidRPr="00DC3183">
        <w:rPr>
          <w:rFonts w:ascii="Times New Roman" w:hAnsi="Times New Roman" w:cs="Times New Roman"/>
          <w:b/>
          <w:bCs/>
          <w:sz w:val="24"/>
          <w:szCs w:val="24"/>
          <w:lang w:val="en-US"/>
        </w:rPr>
        <w:t>APPENDIX A</w:t>
      </w:r>
    </w:p>
    <w:p w:rsidR="00896CBD" w:rsidRPr="00DC3183" w:rsidRDefault="00896CBD" w:rsidP="00896CBD">
      <w:pPr>
        <w:jc w:val="center"/>
        <w:rPr>
          <w:rFonts w:ascii="Times New Roman" w:hAnsi="Times New Roman" w:cs="Times New Roman"/>
          <w:sz w:val="20"/>
          <w:szCs w:val="20"/>
          <w:lang w:val="en-US"/>
        </w:rPr>
      </w:pPr>
      <w:r w:rsidRPr="00DC3183">
        <w:rPr>
          <w:rFonts w:ascii="Times New Roman" w:hAnsi="Times New Roman" w:cs="Times New Roman"/>
          <w:sz w:val="20"/>
          <w:szCs w:val="20"/>
          <w:lang w:val="en-US"/>
        </w:rPr>
        <w:t>Table A1. A detailed list of variables by class of indicators and source.</w:t>
      </w:r>
    </w:p>
    <w:tbl>
      <w:tblPr>
        <w:tblW w:w="10490" w:type="dxa"/>
        <w:tblInd w:w="-709" w:type="dxa"/>
        <w:tblCellMar>
          <w:left w:w="70" w:type="dxa"/>
          <w:right w:w="70" w:type="dxa"/>
        </w:tblCellMar>
        <w:tblLook w:val="04A0" w:firstRow="1" w:lastRow="0" w:firstColumn="1" w:lastColumn="0" w:noHBand="0" w:noVBand="1"/>
      </w:tblPr>
      <w:tblGrid>
        <w:gridCol w:w="1044"/>
        <w:gridCol w:w="915"/>
        <w:gridCol w:w="2848"/>
        <w:gridCol w:w="1661"/>
        <w:gridCol w:w="4022"/>
      </w:tblGrid>
      <w:tr w:rsidR="00896CBD" w:rsidRPr="00DC3183" w:rsidTr="00D35037">
        <w:trPr>
          <w:trHeight w:val="300"/>
        </w:trPr>
        <w:tc>
          <w:tcPr>
            <w:tcW w:w="1044" w:type="dxa"/>
            <w:tcBorders>
              <w:top w:val="single" w:sz="4" w:space="0" w:color="auto"/>
              <w:left w:val="nil"/>
              <w:bottom w:val="single" w:sz="4" w:space="0" w:color="auto"/>
              <w:right w:val="nil"/>
            </w:tcBorders>
            <w:shd w:val="clear" w:color="auto" w:fill="auto"/>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Country</w:t>
            </w:r>
          </w:p>
        </w:tc>
        <w:tc>
          <w:tcPr>
            <w:tcW w:w="915" w:type="dxa"/>
            <w:tcBorders>
              <w:top w:val="single" w:sz="4" w:space="0" w:color="auto"/>
              <w:left w:val="nil"/>
              <w:bottom w:val="single" w:sz="4" w:space="0" w:color="auto"/>
              <w:right w:val="nil"/>
            </w:tcBorders>
            <w:shd w:val="clear" w:color="auto" w:fill="auto"/>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ID variable</w:t>
            </w:r>
          </w:p>
        </w:tc>
        <w:tc>
          <w:tcPr>
            <w:tcW w:w="2848" w:type="dxa"/>
            <w:tcBorders>
              <w:top w:val="single" w:sz="4" w:space="0" w:color="auto"/>
              <w:left w:val="nil"/>
              <w:bottom w:val="single" w:sz="4" w:space="0" w:color="auto"/>
              <w:right w:val="nil"/>
            </w:tcBorders>
            <w:shd w:val="clear" w:color="auto" w:fill="auto"/>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Name of indicator</w:t>
            </w:r>
          </w:p>
        </w:tc>
        <w:tc>
          <w:tcPr>
            <w:tcW w:w="1661" w:type="dxa"/>
            <w:tcBorders>
              <w:top w:val="single" w:sz="4" w:space="0" w:color="auto"/>
              <w:left w:val="nil"/>
              <w:bottom w:val="single" w:sz="4" w:space="0" w:color="auto"/>
              <w:right w:val="nil"/>
            </w:tcBorders>
            <w:shd w:val="clear" w:color="auto" w:fill="auto"/>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Class of Indicator</w:t>
            </w:r>
          </w:p>
        </w:tc>
        <w:tc>
          <w:tcPr>
            <w:tcW w:w="4022" w:type="dxa"/>
            <w:tcBorders>
              <w:top w:val="single" w:sz="4" w:space="0" w:color="auto"/>
              <w:left w:val="nil"/>
              <w:bottom w:val="single" w:sz="4" w:space="0" w:color="auto"/>
              <w:right w:val="nil"/>
            </w:tcBorders>
            <w:shd w:val="clear" w:color="auto" w:fill="auto"/>
            <w:vAlign w:val="bottom"/>
            <w:hideMark/>
          </w:tcPr>
          <w:p w:rsidR="00896CBD" w:rsidRPr="00DC3183" w:rsidRDefault="00896CBD" w:rsidP="00D35037">
            <w:pPr>
              <w:spacing w:after="0" w:line="240" w:lineRule="auto"/>
              <w:jc w:val="center"/>
              <w:rPr>
                <w:rFonts w:ascii="Times New Roman" w:eastAsia="Times New Roman" w:hAnsi="Times New Roman" w:cs="Times New Roman"/>
                <w:color w:val="000000"/>
                <w:sz w:val="14"/>
                <w:szCs w:val="14"/>
                <w:lang w:val="en-US" w:eastAsia="es-CO"/>
              </w:rPr>
            </w:pPr>
            <w:r w:rsidRPr="00DC3183">
              <w:rPr>
                <w:rFonts w:ascii="Times New Roman" w:eastAsia="Times New Roman" w:hAnsi="Times New Roman" w:cs="Times New Roman"/>
                <w:color w:val="000000"/>
                <w:sz w:val="16"/>
                <w:szCs w:val="16"/>
                <w:lang w:val="en-US" w:eastAsia="es-CO"/>
              </w:rPr>
              <w:t>Source</w:t>
            </w:r>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US</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Coincident Economic Activity Index for the United States</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00000"/>
                <w:sz w:val="14"/>
                <w:szCs w:val="14"/>
                <w:lang w:val="en-US" w:eastAsia="es-CO"/>
              </w:rPr>
            </w:pPr>
            <w:r w:rsidRPr="00DC3183">
              <w:rPr>
                <w:rFonts w:ascii="Times New Roman" w:eastAsia="Times New Roman" w:hAnsi="Times New Roman" w:cs="Times New Roman"/>
                <w:color w:val="000000"/>
                <w:sz w:val="14"/>
                <w:szCs w:val="14"/>
                <w:lang w:val="en-US" w:eastAsia="es-CO"/>
              </w:rPr>
              <w:t>https://fred.stlouisfed.org/series/USPHCI</w:t>
            </w:r>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US</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for All Urban Consumers: All Items in the U.S. City Average</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5" w:history="1">
              <w:r w:rsidRPr="00DC3183">
                <w:rPr>
                  <w:rFonts w:ascii="Times New Roman" w:eastAsia="Times New Roman" w:hAnsi="Times New Roman" w:cs="Times New Roman"/>
                  <w:color w:val="0563C1"/>
                  <w:sz w:val="14"/>
                  <w:szCs w:val="14"/>
                  <w:u w:val="single"/>
                  <w:lang w:val="en-US" w:eastAsia="es-CO"/>
                </w:rPr>
                <w:t>https://fred.stlouisfed.org/series/CPIAUCSL</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US</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 for the United States</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6" w:history="1">
              <w:r w:rsidRPr="00DC3183">
                <w:rPr>
                  <w:rFonts w:ascii="Times New Roman" w:eastAsia="Times New Roman" w:hAnsi="Times New Roman" w:cs="Times New Roman"/>
                  <w:color w:val="0563C1"/>
                  <w:sz w:val="14"/>
                  <w:szCs w:val="14"/>
                  <w:u w:val="single"/>
                  <w:lang w:val="en-US" w:eastAsia="es-CO"/>
                </w:rPr>
                <w:t>https://fred.stlouisfed.org/series/M0892AUSM156SNBR</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US</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4</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Population</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Population</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7" w:history="1">
              <w:r w:rsidRPr="00DC3183">
                <w:rPr>
                  <w:rFonts w:ascii="Times New Roman" w:eastAsia="Times New Roman" w:hAnsi="Times New Roman" w:cs="Times New Roman"/>
                  <w:color w:val="0563C1"/>
                  <w:sz w:val="14"/>
                  <w:szCs w:val="14"/>
                  <w:u w:val="single"/>
                  <w:lang w:val="en-US" w:eastAsia="es-CO"/>
                </w:rPr>
                <w:t>https://fred.stlouisfed.org/series/POPTHM</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CHINA</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Leading Indicators OECD: Reference series: Gross Domestic Product (GDP): Normalized for China</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8" w:history="1">
              <w:r w:rsidRPr="00DC3183">
                <w:rPr>
                  <w:rFonts w:ascii="Times New Roman" w:eastAsia="Times New Roman" w:hAnsi="Times New Roman" w:cs="Times New Roman"/>
                  <w:color w:val="0563C1"/>
                  <w:sz w:val="14"/>
                  <w:szCs w:val="14"/>
                  <w:u w:val="single"/>
                  <w:lang w:val="en-US" w:eastAsia="es-CO"/>
                </w:rPr>
                <w:t>https://fred.stlouisfed.org/series/CHNLORSGPNOSTSAM</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CHINA</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CHINA</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9" w:history="1">
              <w:r w:rsidRPr="00DC3183">
                <w:rPr>
                  <w:rFonts w:ascii="Times New Roman" w:eastAsia="Times New Roman" w:hAnsi="Times New Roman" w:cs="Times New Roman"/>
                  <w:color w:val="0563C1"/>
                  <w:sz w:val="14"/>
                  <w:szCs w:val="14"/>
                  <w:u w:val="single"/>
                  <w:lang w:val="en-US" w:eastAsia="es-CO"/>
                </w:rPr>
                <w:t>https://fred.stlouisfed.org/searchresults/?st=China%20unemployment</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CHINA</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The Urban Surveyed Unemployment Rate(%)</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00000"/>
                <w:sz w:val="14"/>
                <w:szCs w:val="14"/>
                <w:lang w:val="en-US" w:eastAsia="es-CO"/>
              </w:rPr>
            </w:pPr>
            <w:r w:rsidRPr="00DC3183">
              <w:rPr>
                <w:rFonts w:ascii="Times New Roman" w:eastAsia="Times New Roman" w:hAnsi="Times New Roman" w:cs="Times New Roman"/>
                <w:color w:val="000000"/>
                <w:sz w:val="14"/>
                <w:szCs w:val="14"/>
                <w:lang w:val="en-US" w:eastAsia="es-CO"/>
              </w:rPr>
              <w:t>https://data.stats.gov.cn/english/easyquery.htm?cn=A01</w:t>
            </w:r>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JAPAN</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Leading Indicators OECD: Reference series: Gross Domestic Product (GDP): Normalized for Japan</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0" w:history="1">
              <w:r w:rsidRPr="00DC3183">
                <w:rPr>
                  <w:rFonts w:ascii="Times New Roman" w:eastAsia="Times New Roman" w:hAnsi="Times New Roman" w:cs="Times New Roman"/>
                  <w:color w:val="0563C1"/>
                  <w:sz w:val="14"/>
                  <w:szCs w:val="14"/>
                  <w:u w:val="single"/>
                  <w:lang w:val="en-US" w:eastAsia="es-CO"/>
                </w:rPr>
                <w:t>https://fred.stlouisfed.org/series/JPNLORSGPNOSTSAM</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JAPAN</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of All Items in Japan</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00000"/>
                <w:sz w:val="14"/>
                <w:szCs w:val="14"/>
                <w:lang w:val="en-US" w:eastAsia="es-CO"/>
              </w:rPr>
            </w:pPr>
            <w:r w:rsidRPr="00DC3183">
              <w:rPr>
                <w:rFonts w:ascii="Times New Roman" w:eastAsia="Times New Roman" w:hAnsi="Times New Roman" w:cs="Times New Roman"/>
                <w:color w:val="000000"/>
                <w:sz w:val="14"/>
                <w:szCs w:val="14"/>
                <w:lang w:val="en-US" w:eastAsia="es-CO"/>
              </w:rPr>
              <w:t>https://fred.stlouisfed.org/series/JPNCPIALLMINMEI</w:t>
            </w:r>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JAPAN</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 of JAPAN</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1" w:history="1">
              <w:r w:rsidRPr="00DC3183">
                <w:rPr>
                  <w:rFonts w:ascii="Times New Roman" w:eastAsia="Times New Roman" w:hAnsi="Times New Roman" w:cs="Times New Roman"/>
                  <w:color w:val="0563C1"/>
                  <w:sz w:val="14"/>
                  <w:szCs w:val="14"/>
                  <w:u w:val="single"/>
                  <w:lang w:val="en-US" w:eastAsia="es-CO"/>
                </w:rPr>
                <w:t>https://fred.stlouisfed.org/series/LRHUTTTTJPM156S</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JAPAN</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4</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Active Population: Aged 15-64: All Persons for Japan</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Population</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2" w:history="1">
              <w:r w:rsidRPr="00DC3183">
                <w:rPr>
                  <w:rFonts w:ascii="Times New Roman" w:eastAsia="Times New Roman" w:hAnsi="Times New Roman" w:cs="Times New Roman"/>
                  <w:color w:val="0563C1"/>
                  <w:sz w:val="14"/>
                  <w:szCs w:val="14"/>
                  <w:u w:val="single"/>
                  <w:lang w:val="en-US" w:eastAsia="es-CO"/>
                </w:rPr>
                <w:t>https://fred.stlouisfed.org/series/LFAC64TTJPM647S</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GERMANY</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Leading Indicators OECD: Reference series: Gross Domestic Product (GDP)</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3" w:history="1">
              <w:r w:rsidRPr="00DC3183">
                <w:rPr>
                  <w:rFonts w:ascii="Times New Roman" w:eastAsia="Times New Roman" w:hAnsi="Times New Roman" w:cs="Times New Roman"/>
                  <w:color w:val="0563C1"/>
                  <w:sz w:val="14"/>
                  <w:szCs w:val="14"/>
                  <w:u w:val="single"/>
                  <w:lang w:val="en-US" w:eastAsia="es-CO"/>
                </w:rPr>
                <w:t>https://fred.stlouisfed.org/series/DEULORSGPNOSTSAM</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GERMANY</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of All Items in Germany</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4" w:history="1">
              <w:r w:rsidRPr="00DC3183">
                <w:rPr>
                  <w:rFonts w:ascii="Times New Roman" w:eastAsia="Times New Roman" w:hAnsi="Times New Roman" w:cs="Times New Roman"/>
                  <w:color w:val="0563C1"/>
                  <w:sz w:val="14"/>
                  <w:szCs w:val="14"/>
                  <w:u w:val="single"/>
                  <w:lang w:val="en-US" w:eastAsia="es-CO"/>
                </w:rPr>
                <w:t>https://fred.stlouisfed.org/series/DEUCPIALLMINMEI</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GERMANY</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Harmonized Unemployment Rate: Total: All Persons for Germany</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5" w:history="1">
              <w:r w:rsidRPr="00DC3183">
                <w:rPr>
                  <w:rFonts w:ascii="Times New Roman" w:eastAsia="Times New Roman" w:hAnsi="Times New Roman" w:cs="Times New Roman"/>
                  <w:color w:val="0563C1"/>
                  <w:sz w:val="14"/>
                  <w:szCs w:val="14"/>
                  <w:u w:val="single"/>
                  <w:lang w:val="en-US" w:eastAsia="es-CO"/>
                </w:rPr>
                <w:t>https://fred.stlouisfed.org/series/LRHUTTTTDEM156S</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INDIA</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Leading Indicators OECD: Reference series: Gross Domestic Product (GDP): Normalized for India</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6" w:history="1">
              <w:r w:rsidRPr="00DC3183">
                <w:rPr>
                  <w:rFonts w:ascii="Times New Roman" w:eastAsia="Times New Roman" w:hAnsi="Times New Roman" w:cs="Times New Roman"/>
                  <w:color w:val="0563C1"/>
                  <w:sz w:val="14"/>
                  <w:szCs w:val="14"/>
                  <w:u w:val="single"/>
                  <w:lang w:val="en-US" w:eastAsia="es-CO"/>
                </w:rPr>
                <w:t>https://fred.stlouisfed.org/series/INDLORSGPNOSTSAM</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INDIA</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All Items for India</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7" w:history="1">
              <w:r w:rsidRPr="00DC3183">
                <w:rPr>
                  <w:rFonts w:ascii="Times New Roman" w:eastAsia="Times New Roman" w:hAnsi="Times New Roman" w:cs="Times New Roman"/>
                  <w:color w:val="0563C1"/>
                  <w:sz w:val="14"/>
                  <w:szCs w:val="14"/>
                  <w:u w:val="single"/>
                  <w:lang w:val="en-US" w:eastAsia="es-CO"/>
                </w:rPr>
                <w:t>https://fred.stlouisfed.org/series/INDCPIALLMINMEI</w:t>
              </w:r>
            </w:hyperlink>
          </w:p>
        </w:tc>
      </w:tr>
      <w:tr w:rsidR="00896CBD" w:rsidRPr="00DC3183"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INDIA</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 Monthly time series (%): India</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8" w:history="1">
              <w:r w:rsidRPr="00DC3183">
                <w:rPr>
                  <w:rStyle w:val="Hyperlink"/>
                  <w:rFonts w:ascii="Times New Roman" w:eastAsia="Times New Roman" w:hAnsi="Times New Roman" w:cs="Times New Roman"/>
                  <w:sz w:val="14"/>
                  <w:szCs w:val="14"/>
                  <w:lang w:val="en-US" w:eastAsia="es-CO"/>
                </w:rPr>
                <w:t>https://unemploymentinindia.cmie.com/</w:t>
              </w:r>
            </w:hyperlink>
          </w:p>
        </w:tc>
      </w:tr>
      <w:tr w:rsidR="00896CBD" w:rsidRPr="00FE2677" w:rsidTr="00D35037">
        <w:trPr>
          <w:trHeight w:val="73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UK</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Leading Indicators OECD: Reference series: Gross Domestic Product (GDP): Normalized for the United Kingdom</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19" w:history="1">
              <w:r w:rsidRPr="00DC3183">
                <w:rPr>
                  <w:rFonts w:ascii="Times New Roman" w:eastAsia="Times New Roman" w:hAnsi="Times New Roman" w:cs="Times New Roman"/>
                  <w:color w:val="0563C1"/>
                  <w:sz w:val="14"/>
                  <w:szCs w:val="14"/>
                  <w:u w:val="single"/>
                  <w:lang w:val="en-US" w:eastAsia="es-CO"/>
                </w:rPr>
                <w:t>https://fred.stlouisfed.org/series/GBRLORSGPNOSTSAM</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UK</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of All Items in the United Kingdom</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0" w:history="1">
              <w:r w:rsidRPr="00DC3183">
                <w:rPr>
                  <w:rFonts w:ascii="Times New Roman" w:eastAsia="Times New Roman" w:hAnsi="Times New Roman" w:cs="Times New Roman"/>
                  <w:color w:val="0563C1"/>
                  <w:sz w:val="14"/>
                  <w:szCs w:val="14"/>
                  <w:u w:val="single"/>
                  <w:lang w:val="en-US" w:eastAsia="es-CO"/>
                </w:rPr>
                <w:t>https://fred.stlouisfed.org/series/GBRCPIALLMINMEI</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UK</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Harmonized Unemployment Rate: Total: All Persons for the United Kingdom</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1" w:history="1">
              <w:r w:rsidRPr="00DC3183">
                <w:rPr>
                  <w:rFonts w:ascii="Times New Roman" w:eastAsia="Times New Roman" w:hAnsi="Times New Roman" w:cs="Times New Roman"/>
                  <w:color w:val="0563C1"/>
                  <w:sz w:val="14"/>
                  <w:szCs w:val="14"/>
                  <w:u w:val="single"/>
                  <w:lang w:val="en-US" w:eastAsia="es-CO"/>
                </w:rPr>
                <w:t>https://fred.stlouisfed.org/series/LRHUTTTTGBM156S</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FRANCE</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Leading Indicators OECD: Reference series: Gross Domestic Product (GDP): Normalized for France</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2" w:history="1">
              <w:r w:rsidRPr="00DC3183">
                <w:rPr>
                  <w:rFonts w:ascii="Times New Roman" w:eastAsia="Times New Roman" w:hAnsi="Times New Roman" w:cs="Times New Roman"/>
                  <w:color w:val="0563C1"/>
                  <w:sz w:val="14"/>
                  <w:szCs w:val="14"/>
                  <w:u w:val="single"/>
                  <w:lang w:val="en-US" w:eastAsia="es-CO"/>
                </w:rPr>
                <w:t>https://fred.stlouisfed.org/series/FRALORSGPNOSTSAM</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FRANCE</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of All Items in France</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3" w:history="1">
              <w:r w:rsidRPr="00DC3183">
                <w:rPr>
                  <w:rFonts w:ascii="Times New Roman" w:eastAsia="Times New Roman" w:hAnsi="Times New Roman" w:cs="Times New Roman"/>
                  <w:color w:val="0563C1"/>
                  <w:sz w:val="14"/>
                  <w:szCs w:val="14"/>
                  <w:u w:val="single"/>
                  <w:lang w:val="en-US" w:eastAsia="es-CO"/>
                </w:rPr>
                <w:t>https://fred.stlouisfed.org/series/FRACPIALLMINMEI</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FRANCE</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Harmonized Unemployment Rate: Total: All Persons for France</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4" w:history="1">
              <w:r w:rsidRPr="00DC3183">
                <w:rPr>
                  <w:rFonts w:ascii="Times New Roman" w:eastAsia="Times New Roman" w:hAnsi="Times New Roman" w:cs="Times New Roman"/>
                  <w:color w:val="0563C1"/>
                  <w:sz w:val="14"/>
                  <w:szCs w:val="14"/>
                  <w:u w:val="single"/>
                  <w:lang w:val="en-US" w:eastAsia="es-CO"/>
                </w:rPr>
                <w:t>https://fred.stlouisfed.org/series/LRHUTTTTFRM156S</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ITALY</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Leading Indicators OECD: Reference series: Gross Domestic Product (GDP): Normalised for Italy</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5" w:history="1">
              <w:r w:rsidRPr="00DC3183">
                <w:rPr>
                  <w:rFonts w:ascii="Times New Roman" w:eastAsia="Times New Roman" w:hAnsi="Times New Roman" w:cs="Times New Roman"/>
                  <w:color w:val="0563C1"/>
                  <w:sz w:val="14"/>
                  <w:szCs w:val="14"/>
                  <w:u w:val="single"/>
                  <w:lang w:val="en-US" w:eastAsia="es-CO"/>
                </w:rPr>
                <w:t>https://fred.stlouisfed.org/series/ITALORSGPNOSTSAM</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ITALY</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of All Items in Italy</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6" w:history="1">
              <w:r w:rsidRPr="00DC3183">
                <w:rPr>
                  <w:rFonts w:ascii="Times New Roman" w:eastAsia="Times New Roman" w:hAnsi="Times New Roman" w:cs="Times New Roman"/>
                  <w:color w:val="0563C1"/>
                  <w:sz w:val="14"/>
                  <w:szCs w:val="14"/>
                  <w:u w:val="single"/>
                  <w:lang w:val="en-US" w:eastAsia="es-CO"/>
                </w:rPr>
                <w:t>https://fred.stlouisfed.org/series/ITACPIALLMINMEI</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ITALY</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Harmonized Unemployment Rate: Total: All Persons for Italy</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7" w:history="1">
              <w:r w:rsidRPr="00DC3183">
                <w:rPr>
                  <w:rFonts w:ascii="Times New Roman" w:eastAsia="Times New Roman" w:hAnsi="Times New Roman" w:cs="Times New Roman"/>
                  <w:color w:val="0563C1"/>
                  <w:sz w:val="14"/>
                  <w:szCs w:val="14"/>
                  <w:u w:val="single"/>
                  <w:lang w:val="en-US" w:eastAsia="es-CO"/>
                </w:rPr>
                <w:t>https://fred.stlouisfed.org/series/LRHUTTTTITM156S</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lastRenderedPageBreak/>
              <w:t>BRAZIL</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Leading Indicators OECD: Reference series: Gross Domestic Product (GDP): Normalised for Brazil</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8" w:history="1">
              <w:r w:rsidRPr="00DC3183">
                <w:rPr>
                  <w:rFonts w:ascii="Times New Roman" w:eastAsia="Times New Roman" w:hAnsi="Times New Roman" w:cs="Times New Roman"/>
                  <w:color w:val="0563C1"/>
                  <w:sz w:val="14"/>
                  <w:szCs w:val="14"/>
                  <w:u w:val="single"/>
                  <w:lang w:val="en-US" w:eastAsia="es-CO"/>
                </w:rPr>
                <w:t>https://fred.stlouisfed.org/series/BRALORSGPNOSTSAM</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BRAZIL</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All Items for Brazi</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29" w:history="1">
              <w:r w:rsidRPr="00DC3183">
                <w:rPr>
                  <w:rFonts w:ascii="Times New Roman" w:eastAsia="Times New Roman" w:hAnsi="Times New Roman" w:cs="Times New Roman"/>
                  <w:color w:val="0563C1"/>
                  <w:sz w:val="14"/>
                  <w:szCs w:val="14"/>
                  <w:u w:val="single"/>
                  <w:lang w:val="en-US" w:eastAsia="es-CO"/>
                </w:rPr>
                <w:t>https://fred.stlouisfed.org/series/BRACPIALLMINMEI</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BRAZIL</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Brazil Unemployment Rate</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30" w:history="1">
              <w:r w:rsidRPr="00DC3183">
                <w:rPr>
                  <w:rFonts w:ascii="Times New Roman" w:eastAsia="Times New Roman" w:hAnsi="Times New Roman" w:cs="Times New Roman"/>
                  <w:color w:val="0563C1"/>
                  <w:sz w:val="14"/>
                  <w:szCs w:val="14"/>
                  <w:u w:val="single"/>
                  <w:lang w:val="en-US" w:eastAsia="es-CO"/>
                </w:rPr>
                <w:t>https://www.investing.com/economic-calendar/brazilian-unemployment-rate-411</w:t>
              </w:r>
            </w:hyperlink>
          </w:p>
        </w:tc>
      </w:tr>
      <w:tr w:rsidR="00896CBD" w:rsidRPr="00FE2677" w:rsidTr="00D35037">
        <w:trPr>
          <w:trHeight w:val="495"/>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CANADA</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1</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Leading Indicators OECD: Reference series: Gross Domestic Product (GDP): Normalised for Canada</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Economic Activity Indicator</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31" w:history="1">
              <w:r w:rsidRPr="00DC3183">
                <w:rPr>
                  <w:rFonts w:ascii="Times New Roman" w:eastAsia="Times New Roman" w:hAnsi="Times New Roman" w:cs="Times New Roman"/>
                  <w:color w:val="0563C1"/>
                  <w:sz w:val="14"/>
                  <w:szCs w:val="14"/>
                  <w:u w:val="single"/>
                  <w:lang w:val="en-US" w:eastAsia="es-CO"/>
                </w:rPr>
                <w:t>https://fred.stlouisfed.org/series/CANLORSGPNOSTSAM</w:t>
              </w:r>
            </w:hyperlink>
          </w:p>
        </w:tc>
      </w:tr>
      <w:tr w:rsidR="00896CBD" w:rsidRPr="00FE2677" w:rsidTr="00D35037">
        <w:trPr>
          <w:trHeight w:val="300"/>
        </w:trPr>
        <w:tc>
          <w:tcPr>
            <w:tcW w:w="1044"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CANADA</w:t>
            </w:r>
          </w:p>
        </w:tc>
        <w:tc>
          <w:tcPr>
            <w:tcW w:w="915"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2</w:t>
            </w:r>
          </w:p>
        </w:tc>
        <w:tc>
          <w:tcPr>
            <w:tcW w:w="2848"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Consumer Price Index: Total, All Items for Canada</w:t>
            </w:r>
          </w:p>
        </w:tc>
        <w:tc>
          <w:tcPr>
            <w:tcW w:w="1661" w:type="dxa"/>
            <w:tcBorders>
              <w:top w:val="nil"/>
              <w:left w:val="nil"/>
              <w:bottom w:val="nil"/>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Inflation Index</w:t>
            </w:r>
          </w:p>
        </w:tc>
        <w:tc>
          <w:tcPr>
            <w:tcW w:w="4022" w:type="dxa"/>
            <w:tcBorders>
              <w:top w:val="nil"/>
              <w:left w:val="nil"/>
              <w:bottom w:val="nil"/>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32" w:history="1">
              <w:r w:rsidRPr="00DC3183">
                <w:rPr>
                  <w:rFonts w:ascii="Times New Roman" w:eastAsia="Times New Roman" w:hAnsi="Times New Roman" w:cs="Times New Roman"/>
                  <w:color w:val="0563C1"/>
                  <w:sz w:val="14"/>
                  <w:szCs w:val="14"/>
                  <w:u w:val="single"/>
                  <w:lang w:val="en-US" w:eastAsia="es-CO"/>
                </w:rPr>
                <w:t>https://fred.stlouisfed.org/series/CPALCY01CAM661N</w:t>
              </w:r>
            </w:hyperlink>
          </w:p>
        </w:tc>
      </w:tr>
      <w:tr w:rsidR="00896CBD" w:rsidRPr="00FE2677" w:rsidTr="00D35037">
        <w:trPr>
          <w:trHeight w:val="495"/>
        </w:trPr>
        <w:tc>
          <w:tcPr>
            <w:tcW w:w="1044" w:type="dxa"/>
            <w:tcBorders>
              <w:top w:val="nil"/>
              <w:left w:val="nil"/>
              <w:bottom w:val="single" w:sz="4" w:space="0" w:color="auto"/>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CANADA</w:t>
            </w:r>
          </w:p>
        </w:tc>
        <w:tc>
          <w:tcPr>
            <w:tcW w:w="915" w:type="dxa"/>
            <w:tcBorders>
              <w:top w:val="nil"/>
              <w:left w:val="nil"/>
              <w:bottom w:val="single" w:sz="4" w:space="0" w:color="auto"/>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3</w:t>
            </w:r>
          </w:p>
        </w:tc>
        <w:tc>
          <w:tcPr>
            <w:tcW w:w="2848" w:type="dxa"/>
            <w:tcBorders>
              <w:top w:val="nil"/>
              <w:left w:val="nil"/>
              <w:bottom w:val="single" w:sz="4" w:space="0" w:color="auto"/>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Harmonized Unemployment Rate: Total: All Persons for Canada</w:t>
            </w:r>
          </w:p>
        </w:tc>
        <w:tc>
          <w:tcPr>
            <w:tcW w:w="1661" w:type="dxa"/>
            <w:tcBorders>
              <w:top w:val="nil"/>
              <w:left w:val="nil"/>
              <w:bottom w:val="single" w:sz="4" w:space="0" w:color="auto"/>
              <w:right w:val="nil"/>
            </w:tcBorders>
            <w:shd w:val="clear" w:color="auto" w:fill="auto"/>
            <w:vAlign w:val="center"/>
            <w:hideMark/>
          </w:tcPr>
          <w:p w:rsidR="00896CBD" w:rsidRPr="00DC3183" w:rsidRDefault="00896CBD" w:rsidP="00D35037">
            <w:pPr>
              <w:spacing w:after="0" w:line="240" w:lineRule="auto"/>
              <w:jc w:val="center"/>
              <w:rPr>
                <w:rFonts w:ascii="Times New Roman" w:eastAsia="Times New Roman" w:hAnsi="Times New Roman" w:cs="Times New Roman"/>
                <w:color w:val="000000"/>
                <w:sz w:val="16"/>
                <w:szCs w:val="16"/>
                <w:lang w:val="en-US" w:eastAsia="es-CO"/>
              </w:rPr>
            </w:pPr>
            <w:r w:rsidRPr="00DC3183">
              <w:rPr>
                <w:rFonts w:ascii="Times New Roman" w:eastAsia="Times New Roman" w:hAnsi="Times New Roman" w:cs="Times New Roman"/>
                <w:color w:val="000000"/>
                <w:sz w:val="16"/>
                <w:szCs w:val="16"/>
                <w:lang w:val="en-US" w:eastAsia="es-CO"/>
              </w:rPr>
              <w:t>Unemployment Rate</w:t>
            </w:r>
          </w:p>
        </w:tc>
        <w:tc>
          <w:tcPr>
            <w:tcW w:w="4022" w:type="dxa"/>
            <w:tcBorders>
              <w:top w:val="nil"/>
              <w:left w:val="nil"/>
              <w:bottom w:val="single" w:sz="4" w:space="0" w:color="auto"/>
              <w:right w:val="nil"/>
            </w:tcBorders>
            <w:shd w:val="clear" w:color="auto" w:fill="auto"/>
            <w:vAlign w:val="bottom"/>
            <w:hideMark/>
          </w:tcPr>
          <w:p w:rsidR="00896CBD" w:rsidRPr="00DC3183" w:rsidRDefault="00896CBD" w:rsidP="00D35037">
            <w:pPr>
              <w:spacing w:after="0" w:line="240" w:lineRule="auto"/>
              <w:rPr>
                <w:rFonts w:ascii="Times New Roman" w:eastAsia="Times New Roman" w:hAnsi="Times New Roman" w:cs="Times New Roman"/>
                <w:color w:val="0563C1"/>
                <w:sz w:val="14"/>
                <w:szCs w:val="14"/>
                <w:u w:val="single"/>
                <w:lang w:val="en-US" w:eastAsia="es-CO"/>
              </w:rPr>
            </w:pPr>
            <w:hyperlink r:id="rId33" w:history="1">
              <w:r w:rsidRPr="00DC3183">
                <w:rPr>
                  <w:rFonts w:ascii="Times New Roman" w:eastAsia="Times New Roman" w:hAnsi="Times New Roman" w:cs="Times New Roman"/>
                  <w:color w:val="0563C1"/>
                  <w:sz w:val="14"/>
                  <w:szCs w:val="14"/>
                  <w:u w:val="single"/>
                  <w:lang w:val="en-US" w:eastAsia="es-CO"/>
                </w:rPr>
                <w:t>https://fred.stlouisfed.org/series/LRHUTTTTCAM156S</w:t>
              </w:r>
            </w:hyperlink>
          </w:p>
        </w:tc>
      </w:tr>
    </w:tbl>
    <w:p w:rsidR="00896CBD" w:rsidRPr="00DC3183" w:rsidRDefault="00896CBD" w:rsidP="00896CBD">
      <w:pPr>
        <w:rPr>
          <w:rFonts w:ascii="Times New Roman" w:hAnsi="Times New Roman" w:cs="Times New Roman"/>
          <w:sz w:val="18"/>
          <w:szCs w:val="18"/>
          <w:lang w:val="en-US"/>
        </w:rPr>
      </w:pPr>
      <w:r w:rsidRPr="00DC3183">
        <w:rPr>
          <w:rFonts w:ascii="Times New Roman" w:hAnsi="Times New Roman" w:cs="Times New Roman"/>
          <w:sz w:val="18"/>
          <w:szCs w:val="18"/>
          <w:lang w:val="en-US"/>
        </w:rPr>
        <w:t xml:space="preserve">Note: The table contains all the name of the variables used for the regression analysis all-in monthly periodicity. It is noted that China was deleted from the analysis due to the lack of information in these variables and missing observations in the same period of time of the analysis. Source. Own Elaboration </w:t>
      </w:r>
      <w:r w:rsidRPr="00DC3183">
        <w:rPr>
          <w:rFonts w:ascii="Times New Roman" w:hAnsi="Times New Roman" w:cs="Times New Roman"/>
          <w:sz w:val="20"/>
          <w:szCs w:val="20"/>
          <w:lang w:val="en-US"/>
        </w:rPr>
        <w:t>(2021)</w:t>
      </w:r>
      <w:r w:rsidRPr="00DC3183">
        <w:rPr>
          <w:rFonts w:ascii="Times New Roman" w:hAnsi="Times New Roman" w:cs="Times New Roman"/>
          <w:sz w:val="18"/>
          <w:szCs w:val="18"/>
          <w:lang w:val="en-US"/>
        </w:rPr>
        <w:t>.</w:t>
      </w:r>
    </w:p>
    <w:p w:rsidR="00896CBD" w:rsidRPr="00DC3183" w:rsidRDefault="00896CBD" w:rsidP="00896CBD">
      <w:pPr>
        <w:rPr>
          <w:rFonts w:ascii="Times New Roman" w:hAnsi="Times New Roman" w:cs="Times New Roman"/>
          <w:sz w:val="18"/>
          <w:szCs w:val="18"/>
          <w:lang w:val="en-US"/>
        </w:rPr>
      </w:pPr>
      <w:r w:rsidRPr="00DC3183">
        <w:rPr>
          <w:rFonts w:ascii="Times New Roman" w:hAnsi="Times New Roman" w:cs="Times New Roman"/>
          <w:sz w:val="18"/>
          <w:szCs w:val="18"/>
          <w:lang w:val="en-US"/>
        </w:rPr>
        <w:br w:type="page"/>
      </w:r>
    </w:p>
    <w:p w:rsidR="00896CBD" w:rsidRPr="00DC3183" w:rsidRDefault="00896CBD" w:rsidP="00896CBD">
      <w:pPr>
        <w:rPr>
          <w:rFonts w:ascii="Times New Roman" w:hAnsi="Times New Roman" w:cs="Times New Roman"/>
          <w:b/>
          <w:bCs/>
          <w:sz w:val="24"/>
          <w:szCs w:val="24"/>
          <w:lang w:val="en-US"/>
        </w:rPr>
      </w:pPr>
      <w:r w:rsidRPr="00DC3183">
        <w:rPr>
          <w:rFonts w:ascii="Times New Roman" w:hAnsi="Times New Roman" w:cs="Times New Roman"/>
          <w:b/>
          <w:bCs/>
          <w:sz w:val="24"/>
          <w:szCs w:val="24"/>
          <w:lang w:val="en-US"/>
        </w:rPr>
        <w:lastRenderedPageBreak/>
        <w:t>APPENDIX B.</w:t>
      </w:r>
    </w:p>
    <w:p w:rsidR="00896CBD" w:rsidRPr="00DC3183" w:rsidRDefault="00896CBD" w:rsidP="00896CBD">
      <w:pPr>
        <w:jc w:val="center"/>
        <w:rPr>
          <w:rFonts w:ascii="Times New Roman" w:hAnsi="Times New Roman" w:cs="Times New Roman"/>
          <w:sz w:val="20"/>
          <w:szCs w:val="20"/>
          <w:lang w:val="en-US"/>
        </w:rPr>
      </w:pPr>
      <w:r w:rsidRPr="00DC3183">
        <w:rPr>
          <w:rFonts w:ascii="Times New Roman" w:hAnsi="Times New Roman" w:cs="Times New Roman"/>
          <w:sz w:val="20"/>
          <w:szCs w:val="20"/>
          <w:lang w:val="en-US"/>
        </w:rPr>
        <w:t>Table A2. Fisher-type unit-root Augmented Dickey-Fuller tests.</w:t>
      </w:r>
    </w:p>
    <w:tbl>
      <w:tblPr>
        <w:tblStyle w:val="TableGrid"/>
        <w:tblW w:w="0" w:type="auto"/>
        <w:tblLook w:val="04A0" w:firstRow="1" w:lastRow="0" w:firstColumn="1" w:lastColumn="0" w:noHBand="0" w:noVBand="1"/>
      </w:tblPr>
      <w:tblGrid>
        <w:gridCol w:w="1413"/>
        <w:gridCol w:w="2518"/>
        <w:gridCol w:w="610"/>
        <w:gridCol w:w="1591"/>
        <w:gridCol w:w="1094"/>
        <w:gridCol w:w="1602"/>
      </w:tblGrid>
      <w:tr w:rsidR="00896CBD" w:rsidRPr="00DC3183" w:rsidTr="00D35037">
        <w:tc>
          <w:tcPr>
            <w:tcW w:w="1413" w:type="dxa"/>
            <w:tcBorders>
              <w:top w:val="single" w:sz="4" w:space="0" w:color="auto"/>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Variable</w:t>
            </w:r>
          </w:p>
        </w:tc>
        <w:tc>
          <w:tcPr>
            <w:tcW w:w="2518" w:type="dxa"/>
            <w:tcBorders>
              <w:top w:val="single" w:sz="4" w:space="0" w:color="auto"/>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Test</w:t>
            </w:r>
          </w:p>
        </w:tc>
        <w:tc>
          <w:tcPr>
            <w:tcW w:w="610" w:type="dxa"/>
            <w:tcBorders>
              <w:top w:val="single" w:sz="4" w:space="0" w:color="auto"/>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1591" w:type="dxa"/>
            <w:tcBorders>
              <w:top w:val="single" w:sz="4" w:space="0" w:color="auto"/>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Statistic</w:t>
            </w:r>
          </w:p>
        </w:tc>
        <w:tc>
          <w:tcPr>
            <w:tcW w:w="1094" w:type="dxa"/>
            <w:tcBorders>
              <w:top w:val="single" w:sz="4" w:space="0" w:color="auto"/>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p-value</w:t>
            </w:r>
          </w:p>
        </w:tc>
        <w:tc>
          <w:tcPr>
            <w:tcW w:w="1602" w:type="dxa"/>
            <w:tcBorders>
              <w:top w:val="single" w:sz="4" w:space="0" w:color="auto"/>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Decision</w:t>
            </w: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Carbon Monoxide Emissions</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37.3621</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0.0019</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Non-stationary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-0.9406</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0.1735</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-1.5602</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0.0629</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3.7763</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0.0001</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Difference Carbon Monoxide Emissions</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235.6623</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-13.7895</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-23.2399</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38.8312</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0.0001</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Economic Activity Index</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17.7918</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0.3362</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Non-stationary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-0.4904</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0.3119</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-0.3157</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0.3769</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0.3167</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0.3757</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Difference Economic Activity Index</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163.6871</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-8.9081</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-15.7094</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26.1076</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0.0001</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UE Rate</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19.1750</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0.2597</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Non-stationary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0.8982</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0.8155</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1.3833</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0.9132</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0.5613</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0.2873</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Difference UE Rate</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77.5003</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-6.2331</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-7.5568</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10.8718</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Inflation Rate (CPI)</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13.4181</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0.6420</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Non-Stationary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1.7303</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0.9582</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1.8419</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0.9639</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-0.4564</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0.6760</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Difference Inflation Rate (CPI)</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80.8997</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-6.2567</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-7.6386</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11.4728</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 xml:space="preserve">Total Cases </w:t>
            </w:r>
            <w:r>
              <w:rPr>
                <w:rFonts w:ascii="Times New Roman" w:hAnsi="Times New Roman" w:cs="Times New Roman"/>
                <w:sz w:val="18"/>
                <w:szCs w:val="18"/>
                <w:lang w:val="en-US"/>
              </w:rPr>
              <w:t xml:space="preserve">COVID-19 </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1.0000</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Non-Stationary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-2.8284</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0.9977</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val="restart"/>
            <w:tcBorders>
              <w:top w:val="single" w:sz="4" w:space="0" w:color="auto"/>
              <w:left w:val="nil"/>
              <w:bottom w:val="single" w:sz="4" w:space="0" w:color="auto"/>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 xml:space="preserve">Difference New Total Cases </w:t>
            </w:r>
            <w:r>
              <w:rPr>
                <w:rFonts w:ascii="Times New Roman" w:hAnsi="Times New Roman" w:cs="Times New Roman"/>
                <w:sz w:val="18"/>
                <w:szCs w:val="18"/>
                <w:lang w:val="en-US"/>
              </w:rPr>
              <w:t xml:space="preserve">COVID-19 </w:t>
            </w:r>
          </w:p>
        </w:tc>
        <w:tc>
          <w:tcPr>
            <w:tcW w:w="2518"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chi-squared (16)</w:t>
            </w:r>
          </w:p>
        </w:tc>
        <w:tc>
          <w:tcPr>
            <w:tcW w:w="610"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w:t>
            </w:r>
          </w:p>
        </w:tc>
        <w:tc>
          <w:tcPr>
            <w:tcW w:w="1591"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144.1746</w:t>
            </w:r>
          </w:p>
        </w:tc>
        <w:tc>
          <w:tcPr>
            <w:tcW w:w="1094" w:type="dxa"/>
            <w:tcBorders>
              <w:top w:val="single" w:sz="4" w:space="0" w:color="auto"/>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val="restart"/>
            <w:tcBorders>
              <w:top w:val="single" w:sz="4" w:space="0" w:color="auto"/>
              <w:left w:val="nil"/>
              <w:bottom w:val="nil"/>
              <w:right w:val="nil"/>
            </w:tcBorders>
            <w:vAlign w:val="center"/>
          </w:tcPr>
          <w:p w:rsidR="00896CBD" w:rsidRPr="00DC3183" w:rsidRDefault="00896CBD" w:rsidP="00D35037">
            <w:pPr>
              <w:jc w:val="center"/>
              <w:rPr>
                <w:rFonts w:ascii="Times New Roman" w:hAnsi="Times New Roman" w:cs="Times New Roman"/>
                <w:sz w:val="18"/>
                <w:szCs w:val="18"/>
                <w:lang w:val="en-US"/>
              </w:rPr>
            </w:pPr>
            <w:r w:rsidRPr="00DC3183">
              <w:rPr>
                <w:rFonts w:ascii="Times New Roman" w:hAnsi="Times New Roman" w:cs="Times New Roman"/>
                <w:sz w:val="18"/>
                <w:szCs w:val="18"/>
                <w:lang w:val="en-US"/>
              </w:rPr>
              <w:t>Stationary</w:t>
            </w: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normal</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Z</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-11.4917</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Inverse logit t(44)</w:t>
            </w:r>
          </w:p>
        </w:tc>
        <w:tc>
          <w:tcPr>
            <w:tcW w:w="610"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L</w:t>
            </w:r>
          </w:p>
        </w:tc>
        <w:tc>
          <w:tcPr>
            <w:tcW w:w="1591"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-29.2507</w:t>
            </w:r>
          </w:p>
        </w:tc>
        <w:tc>
          <w:tcPr>
            <w:tcW w:w="1094" w:type="dxa"/>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nil"/>
              <w:right w:val="nil"/>
            </w:tcBorders>
          </w:tcPr>
          <w:p w:rsidR="00896CBD" w:rsidRPr="00DC3183" w:rsidRDefault="00896CBD" w:rsidP="00D35037">
            <w:pPr>
              <w:rPr>
                <w:rFonts w:ascii="Times New Roman" w:hAnsi="Times New Roman" w:cs="Times New Roman"/>
                <w:sz w:val="18"/>
                <w:szCs w:val="18"/>
                <w:lang w:val="en-US"/>
              </w:rPr>
            </w:pPr>
          </w:p>
        </w:tc>
      </w:tr>
      <w:tr w:rsidR="00896CBD" w:rsidRPr="00DC3183" w:rsidTr="00D35037">
        <w:tc>
          <w:tcPr>
            <w:tcW w:w="1413"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c>
          <w:tcPr>
            <w:tcW w:w="2518"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Modified inv. chi-squared</w:t>
            </w:r>
          </w:p>
        </w:tc>
        <w:tc>
          <w:tcPr>
            <w:tcW w:w="610"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Pm</w:t>
            </w:r>
          </w:p>
        </w:tc>
        <w:tc>
          <w:tcPr>
            <w:tcW w:w="1591"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22.6583</w:t>
            </w:r>
          </w:p>
        </w:tc>
        <w:tc>
          <w:tcPr>
            <w:tcW w:w="1094" w:type="dxa"/>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r w:rsidRPr="00DC3183">
              <w:rPr>
                <w:rFonts w:ascii="Times New Roman" w:hAnsi="Times New Roman" w:cs="Times New Roman"/>
                <w:sz w:val="18"/>
                <w:szCs w:val="18"/>
                <w:lang w:val="en-US"/>
              </w:rPr>
              <w:t>0.0000</w:t>
            </w:r>
          </w:p>
        </w:tc>
        <w:tc>
          <w:tcPr>
            <w:tcW w:w="1602" w:type="dxa"/>
            <w:vMerge/>
            <w:tcBorders>
              <w:top w:val="nil"/>
              <w:left w:val="nil"/>
              <w:bottom w:val="single" w:sz="4" w:space="0" w:color="auto"/>
              <w:right w:val="nil"/>
            </w:tcBorders>
          </w:tcPr>
          <w:p w:rsidR="00896CBD" w:rsidRPr="00DC3183" w:rsidRDefault="00896CBD" w:rsidP="00D35037">
            <w:pPr>
              <w:rPr>
                <w:rFonts w:ascii="Times New Roman" w:hAnsi="Times New Roman" w:cs="Times New Roman"/>
                <w:sz w:val="18"/>
                <w:szCs w:val="18"/>
                <w:lang w:val="en-US"/>
              </w:rPr>
            </w:pPr>
          </w:p>
        </w:tc>
      </w:tr>
    </w:tbl>
    <w:p w:rsidR="00896CBD" w:rsidRPr="00DC3183" w:rsidRDefault="00896CBD" w:rsidP="00896CBD">
      <w:pPr>
        <w:rPr>
          <w:rFonts w:ascii="Times New Roman" w:hAnsi="Times New Roman" w:cs="Times New Roman"/>
          <w:lang w:val="en-US"/>
        </w:rPr>
      </w:pPr>
      <w:r w:rsidRPr="00DC3183">
        <w:rPr>
          <w:rFonts w:ascii="Times New Roman" w:hAnsi="Times New Roman" w:cs="Times New Roman"/>
          <w:sz w:val="20"/>
          <w:szCs w:val="20"/>
          <w:lang w:val="en-US"/>
        </w:rPr>
        <w:t>Note: Probabilities for Fisher tests are computed using an asymptotic Chi-square distribution. Newey–West automatic bandwidth selection and Bartlett kernel. Automatic lag length selection based on SIC. Ho: All panels contain unit roots, Ha: At least one panel is stationary, Autoregressive parameter: Panel-specific. Source: Own elaborations (2021).</w:t>
      </w:r>
    </w:p>
    <w:p w:rsidR="00896CBD" w:rsidRPr="00DC3183" w:rsidRDefault="00896CBD" w:rsidP="00896CBD">
      <w:pPr>
        <w:rPr>
          <w:rFonts w:ascii="Times New Roman" w:hAnsi="Times New Roman" w:cs="Times New Roman"/>
          <w:sz w:val="16"/>
          <w:szCs w:val="16"/>
          <w:lang w:val="en-US"/>
        </w:rPr>
      </w:pPr>
      <w:r w:rsidRPr="00DC3183">
        <w:rPr>
          <w:rFonts w:ascii="Times New Roman" w:hAnsi="Times New Roman" w:cs="Times New Roman"/>
          <w:sz w:val="16"/>
          <w:szCs w:val="16"/>
          <w:lang w:val="en-US"/>
        </w:rPr>
        <w:br w:type="page"/>
      </w:r>
    </w:p>
    <w:p w:rsidR="00896CBD" w:rsidRPr="00DC3183" w:rsidRDefault="00896CBD" w:rsidP="00896CBD">
      <w:pPr>
        <w:jc w:val="center"/>
        <w:rPr>
          <w:rFonts w:ascii="Times New Roman" w:hAnsi="Times New Roman" w:cs="Times New Roman"/>
          <w:sz w:val="16"/>
          <w:szCs w:val="16"/>
          <w:lang w:val="en-US"/>
        </w:rPr>
      </w:pPr>
      <w:r w:rsidRPr="00DC3183">
        <w:rPr>
          <w:rFonts w:ascii="Times New Roman" w:hAnsi="Times New Roman" w:cs="Times New Roman"/>
          <w:sz w:val="20"/>
          <w:szCs w:val="20"/>
          <w:lang w:val="en-US"/>
        </w:rPr>
        <w:lastRenderedPageBreak/>
        <w:t>Table A4. Kao Residual tests of Cointegration.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1"/>
        <w:gridCol w:w="1471"/>
        <w:gridCol w:w="1472"/>
      </w:tblGrid>
      <w:tr w:rsidR="00896CBD" w:rsidRPr="00DC3183" w:rsidTr="00D35037">
        <w:trPr>
          <w:jc w:val="center"/>
        </w:trPr>
        <w:tc>
          <w:tcPr>
            <w:tcW w:w="1471" w:type="dxa"/>
            <w:tcBorders>
              <w:top w:val="single" w:sz="4" w:space="0" w:color="auto"/>
              <w:bottom w:val="single" w:sz="4" w:space="0" w:color="auto"/>
            </w:tcBorders>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Test for cointegration</w:t>
            </w:r>
          </w:p>
        </w:tc>
        <w:tc>
          <w:tcPr>
            <w:tcW w:w="1471" w:type="dxa"/>
            <w:tcBorders>
              <w:top w:val="single" w:sz="4" w:space="0" w:color="auto"/>
              <w:bottom w:val="single" w:sz="4" w:space="0" w:color="auto"/>
            </w:tcBorders>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Statistic</w:t>
            </w:r>
          </w:p>
        </w:tc>
        <w:tc>
          <w:tcPr>
            <w:tcW w:w="1472" w:type="dxa"/>
            <w:tcBorders>
              <w:top w:val="single" w:sz="4" w:space="0" w:color="auto"/>
              <w:bottom w:val="single" w:sz="4" w:space="0" w:color="auto"/>
            </w:tcBorders>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p-value</w:t>
            </w:r>
          </w:p>
        </w:tc>
      </w:tr>
      <w:tr w:rsidR="00896CBD" w:rsidRPr="00DC3183" w:rsidTr="00D35037">
        <w:trPr>
          <w:jc w:val="center"/>
        </w:trPr>
        <w:tc>
          <w:tcPr>
            <w:tcW w:w="1471" w:type="dxa"/>
            <w:tcBorders>
              <w:top w:val="single" w:sz="4" w:space="0" w:color="auto"/>
            </w:tcBorders>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Modified Dickey-Fuller t</w:t>
            </w:r>
          </w:p>
        </w:tc>
        <w:tc>
          <w:tcPr>
            <w:tcW w:w="1471" w:type="dxa"/>
            <w:tcBorders>
              <w:top w:val="single" w:sz="4" w:space="0" w:color="auto"/>
            </w:tcBorders>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w:t>
            </w:r>
          </w:p>
        </w:tc>
        <w:tc>
          <w:tcPr>
            <w:tcW w:w="1472" w:type="dxa"/>
            <w:tcBorders>
              <w:top w:val="single" w:sz="4" w:space="0" w:color="auto"/>
            </w:tcBorders>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w:t>
            </w:r>
          </w:p>
        </w:tc>
      </w:tr>
      <w:tr w:rsidR="00896CBD" w:rsidRPr="00DC3183" w:rsidTr="00D35037">
        <w:trPr>
          <w:jc w:val="center"/>
        </w:trPr>
        <w:tc>
          <w:tcPr>
            <w:tcW w:w="1471" w:type="dxa"/>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Dickey-Fuller t</w:t>
            </w:r>
          </w:p>
        </w:tc>
        <w:tc>
          <w:tcPr>
            <w:tcW w:w="1471" w:type="dxa"/>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w:t>
            </w:r>
          </w:p>
        </w:tc>
        <w:tc>
          <w:tcPr>
            <w:tcW w:w="1472" w:type="dxa"/>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w:t>
            </w:r>
          </w:p>
        </w:tc>
      </w:tr>
      <w:tr w:rsidR="00896CBD" w:rsidRPr="00DC3183" w:rsidTr="00D35037">
        <w:trPr>
          <w:jc w:val="center"/>
        </w:trPr>
        <w:tc>
          <w:tcPr>
            <w:tcW w:w="1471" w:type="dxa"/>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Augmented Dickey-Fuller t</w:t>
            </w:r>
          </w:p>
        </w:tc>
        <w:tc>
          <w:tcPr>
            <w:tcW w:w="1471" w:type="dxa"/>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w:t>
            </w:r>
          </w:p>
        </w:tc>
        <w:tc>
          <w:tcPr>
            <w:tcW w:w="1472" w:type="dxa"/>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w:t>
            </w:r>
          </w:p>
        </w:tc>
      </w:tr>
      <w:tr w:rsidR="00896CBD" w:rsidRPr="00DC3183" w:rsidTr="00D35037">
        <w:trPr>
          <w:jc w:val="center"/>
        </w:trPr>
        <w:tc>
          <w:tcPr>
            <w:tcW w:w="1471" w:type="dxa"/>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Unadjusted modified Dickey Fuller t</w:t>
            </w:r>
          </w:p>
        </w:tc>
        <w:tc>
          <w:tcPr>
            <w:tcW w:w="1471" w:type="dxa"/>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3.5566</w:t>
            </w:r>
          </w:p>
        </w:tc>
        <w:tc>
          <w:tcPr>
            <w:tcW w:w="1472" w:type="dxa"/>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0.0002</w:t>
            </w:r>
          </w:p>
        </w:tc>
      </w:tr>
      <w:tr w:rsidR="00896CBD" w:rsidRPr="00DC3183" w:rsidTr="00D35037">
        <w:trPr>
          <w:jc w:val="center"/>
        </w:trPr>
        <w:tc>
          <w:tcPr>
            <w:tcW w:w="1471" w:type="dxa"/>
            <w:tcBorders>
              <w:bottom w:val="single" w:sz="4" w:space="0" w:color="auto"/>
            </w:tcBorders>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Unadjusted Dickey-Fuller t</w:t>
            </w:r>
          </w:p>
        </w:tc>
        <w:tc>
          <w:tcPr>
            <w:tcW w:w="1471" w:type="dxa"/>
            <w:tcBorders>
              <w:bottom w:val="single" w:sz="4" w:space="0" w:color="auto"/>
            </w:tcBorders>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4.5371</w:t>
            </w:r>
          </w:p>
        </w:tc>
        <w:tc>
          <w:tcPr>
            <w:tcW w:w="1472" w:type="dxa"/>
            <w:tcBorders>
              <w:bottom w:val="single" w:sz="4" w:space="0" w:color="auto"/>
            </w:tcBorders>
          </w:tcPr>
          <w:p w:rsidR="00896CBD" w:rsidRPr="00DC3183" w:rsidRDefault="00896CBD" w:rsidP="00D35037">
            <w:pPr>
              <w:rPr>
                <w:rFonts w:ascii="Times New Roman" w:hAnsi="Times New Roman" w:cs="Times New Roman"/>
                <w:sz w:val="16"/>
                <w:szCs w:val="16"/>
                <w:lang w:val="en-US"/>
              </w:rPr>
            </w:pPr>
            <w:r w:rsidRPr="00DC3183">
              <w:rPr>
                <w:rFonts w:ascii="Times New Roman" w:hAnsi="Times New Roman" w:cs="Times New Roman"/>
                <w:sz w:val="16"/>
                <w:szCs w:val="16"/>
                <w:lang w:val="en-US"/>
              </w:rPr>
              <w:t>0.0000</w:t>
            </w:r>
          </w:p>
        </w:tc>
      </w:tr>
      <w:tr w:rsidR="00896CBD" w:rsidRPr="00DC3183" w:rsidTr="00D35037">
        <w:trPr>
          <w:jc w:val="center"/>
        </w:trPr>
        <w:tc>
          <w:tcPr>
            <w:tcW w:w="1471" w:type="dxa"/>
            <w:tcBorders>
              <w:top w:val="single" w:sz="4" w:space="0" w:color="auto"/>
            </w:tcBorders>
          </w:tcPr>
          <w:p w:rsidR="00896CBD" w:rsidRPr="00DC3183" w:rsidRDefault="00896CBD" w:rsidP="00D35037">
            <w:pPr>
              <w:rPr>
                <w:rFonts w:ascii="Times New Roman" w:hAnsi="Times New Roman" w:cs="Times New Roman"/>
                <w:sz w:val="16"/>
                <w:szCs w:val="16"/>
                <w:lang w:val="en-US"/>
              </w:rPr>
            </w:pPr>
          </w:p>
        </w:tc>
        <w:tc>
          <w:tcPr>
            <w:tcW w:w="1471" w:type="dxa"/>
            <w:tcBorders>
              <w:top w:val="single" w:sz="4" w:space="0" w:color="auto"/>
            </w:tcBorders>
          </w:tcPr>
          <w:p w:rsidR="00896CBD" w:rsidRPr="00DC3183" w:rsidRDefault="00896CBD" w:rsidP="00D35037">
            <w:pPr>
              <w:rPr>
                <w:rFonts w:ascii="Times New Roman" w:hAnsi="Times New Roman" w:cs="Times New Roman"/>
                <w:sz w:val="16"/>
                <w:szCs w:val="16"/>
                <w:lang w:val="en-US"/>
              </w:rPr>
            </w:pPr>
          </w:p>
        </w:tc>
        <w:tc>
          <w:tcPr>
            <w:tcW w:w="1472" w:type="dxa"/>
            <w:tcBorders>
              <w:top w:val="single" w:sz="4" w:space="0" w:color="auto"/>
            </w:tcBorders>
          </w:tcPr>
          <w:p w:rsidR="00896CBD" w:rsidRPr="00DC3183" w:rsidRDefault="00896CBD" w:rsidP="00D35037">
            <w:pPr>
              <w:rPr>
                <w:rFonts w:ascii="Times New Roman" w:hAnsi="Times New Roman" w:cs="Times New Roman"/>
                <w:sz w:val="16"/>
                <w:szCs w:val="16"/>
                <w:lang w:val="en-US"/>
              </w:rPr>
            </w:pPr>
          </w:p>
        </w:tc>
      </w:tr>
    </w:tbl>
    <w:p w:rsidR="00896CBD" w:rsidRPr="00DC3183" w:rsidRDefault="00896CBD" w:rsidP="00896CBD">
      <w:pPr>
        <w:rPr>
          <w:rFonts w:ascii="Times New Roman" w:hAnsi="Times New Roman" w:cs="Times New Roman"/>
          <w:sz w:val="16"/>
          <w:szCs w:val="16"/>
          <w:lang w:val="en-US"/>
        </w:rPr>
      </w:pPr>
      <w:r w:rsidRPr="00DC3183">
        <w:rPr>
          <w:rFonts w:ascii="Times New Roman" w:hAnsi="Times New Roman" w:cs="Times New Roman"/>
          <w:sz w:val="16"/>
          <w:szCs w:val="16"/>
          <w:lang w:val="en-US"/>
        </w:rPr>
        <w:t xml:space="preserve">Note: Same cointegrating vector for the tests, Panel means included, Autoregressive parameter same for all test. Lags: 2.63 (Newey-West), Bartlett’s kernel selection. Ho: No cointegration, Ha: All panels are cointegrated. Source: Own Elaboration </w:t>
      </w:r>
      <w:r w:rsidRPr="00DC3183">
        <w:rPr>
          <w:rFonts w:ascii="Times New Roman" w:hAnsi="Times New Roman" w:cs="Times New Roman"/>
          <w:sz w:val="20"/>
          <w:szCs w:val="20"/>
          <w:lang w:val="en-US"/>
        </w:rPr>
        <w:t>(2021)</w:t>
      </w:r>
      <w:r w:rsidRPr="00DC3183">
        <w:rPr>
          <w:rFonts w:ascii="Times New Roman" w:hAnsi="Times New Roman" w:cs="Times New Roman"/>
          <w:sz w:val="16"/>
          <w:szCs w:val="16"/>
          <w:lang w:val="en-US"/>
        </w:rPr>
        <w:t>.</w:t>
      </w:r>
    </w:p>
    <w:p w:rsidR="00896CBD" w:rsidRPr="00DC3183" w:rsidRDefault="00896CBD" w:rsidP="00896CBD">
      <w:pPr>
        <w:rPr>
          <w:rFonts w:ascii="Times New Roman" w:hAnsi="Times New Roman" w:cs="Times New Roman"/>
          <w:sz w:val="16"/>
          <w:szCs w:val="16"/>
          <w:lang w:val="en-US"/>
        </w:rPr>
      </w:pPr>
    </w:p>
    <w:p w:rsidR="00896CBD" w:rsidRPr="00DC3183" w:rsidRDefault="00896CBD" w:rsidP="00896CBD">
      <w:pPr>
        <w:rPr>
          <w:rFonts w:ascii="Times New Roman" w:hAnsi="Times New Roman" w:cs="Times New Roman"/>
          <w:sz w:val="16"/>
          <w:szCs w:val="16"/>
          <w:lang w:val="en-US"/>
        </w:rPr>
      </w:pPr>
      <w:r w:rsidRPr="00DC3183">
        <w:rPr>
          <w:rFonts w:ascii="Times New Roman" w:hAnsi="Times New Roman" w:cs="Times New Roman"/>
          <w:sz w:val="16"/>
          <w:szCs w:val="16"/>
          <w:lang w:val="en-US"/>
        </w:rPr>
        <w:br w:type="page"/>
      </w:r>
    </w:p>
    <w:p w:rsidR="00896CBD" w:rsidRPr="00DC3183" w:rsidRDefault="00896CBD" w:rsidP="00896CBD">
      <w:pPr>
        <w:rPr>
          <w:rFonts w:ascii="Times New Roman" w:hAnsi="Times New Roman" w:cs="Times New Roman"/>
          <w:b/>
          <w:bCs/>
          <w:sz w:val="24"/>
          <w:szCs w:val="24"/>
          <w:lang w:val="en-US"/>
        </w:rPr>
      </w:pPr>
      <w:r w:rsidRPr="00DC3183">
        <w:rPr>
          <w:rFonts w:ascii="Times New Roman" w:hAnsi="Times New Roman" w:cs="Times New Roman"/>
          <w:b/>
          <w:bCs/>
          <w:sz w:val="24"/>
          <w:szCs w:val="24"/>
          <w:lang w:val="en-US"/>
        </w:rPr>
        <w:lastRenderedPageBreak/>
        <w:t>APPENDIX C.</w:t>
      </w:r>
    </w:p>
    <w:p w:rsidR="00896CBD" w:rsidRPr="00DC3183" w:rsidRDefault="00896CBD" w:rsidP="00896CBD">
      <w:pPr>
        <w:jc w:val="center"/>
        <w:rPr>
          <w:rFonts w:ascii="Times New Roman" w:hAnsi="Times New Roman" w:cs="Times New Roman"/>
          <w:sz w:val="16"/>
          <w:szCs w:val="16"/>
          <w:lang w:val="en-US"/>
        </w:rPr>
      </w:pPr>
      <w:r w:rsidRPr="00DC3183">
        <w:rPr>
          <w:rFonts w:ascii="Times New Roman" w:hAnsi="Times New Roman" w:cs="Times New Roman"/>
          <w:sz w:val="20"/>
          <w:szCs w:val="20"/>
          <w:lang w:val="en-US"/>
        </w:rPr>
        <w:t xml:space="preserve">Table A5. </w:t>
      </w:r>
      <w:r>
        <w:rPr>
          <w:rFonts w:ascii="Times New Roman" w:hAnsi="Times New Roman" w:cs="Times New Roman"/>
          <w:sz w:val="20"/>
          <w:szCs w:val="20"/>
          <w:lang w:val="en-US"/>
        </w:rPr>
        <w:t xml:space="preserve">Long-run </w:t>
      </w:r>
      <w:r w:rsidRPr="00DC3183">
        <w:rPr>
          <w:rFonts w:ascii="Times New Roman" w:hAnsi="Times New Roman" w:cs="Times New Roman"/>
          <w:sz w:val="20"/>
          <w:szCs w:val="20"/>
          <w:lang w:val="en-US"/>
        </w:rPr>
        <w:t>Driscoll-Kraay Regressions</w:t>
      </w:r>
    </w:p>
    <w:tbl>
      <w:tblPr>
        <w:tblW w:w="5400" w:type="dxa"/>
        <w:jc w:val="center"/>
        <w:tblCellMar>
          <w:left w:w="70" w:type="dxa"/>
          <w:right w:w="70" w:type="dxa"/>
        </w:tblCellMar>
        <w:tblLook w:val="04A0" w:firstRow="1" w:lastRow="0" w:firstColumn="1" w:lastColumn="0" w:noHBand="0" w:noVBand="1"/>
      </w:tblPr>
      <w:tblGrid>
        <w:gridCol w:w="1920"/>
        <w:gridCol w:w="1160"/>
        <w:gridCol w:w="1160"/>
        <w:gridCol w:w="1160"/>
      </w:tblGrid>
      <w:tr w:rsidR="00896CBD" w:rsidRPr="00DC3183" w:rsidTr="00D35037">
        <w:trPr>
          <w:trHeight w:val="255"/>
          <w:jc w:val="center"/>
        </w:trPr>
        <w:tc>
          <w:tcPr>
            <w:tcW w:w="1920" w:type="dxa"/>
            <w:tcBorders>
              <w:top w:val="single" w:sz="4" w:space="0" w:color="auto"/>
              <w:left w:val="nil"/>
              <w:bottom w:val="nil"/>
              <w:right w:val="nil"/>
            </w:tcBorders>
            <w:shd w:val="clear" w:color="auto" w:fill="auto"/>
            <w:noWrap/>
            <w:vAlign w:val="bottom"/>
          </w:tcPr>
          <w:p w:rsidR="00896CBD" w:rsidRPr="00DC3183" w:rsidRDefault="00896CBD" w:rsidP="00D35037">
            <w:pPr>
              <w:spacing w:after="0" w:line="240" w:lineRule="auto"/>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Specification</w:t>
            </w:r>
          </w:p>
        </w:tc>
        <w:tc>
          <w:tcPr>
            <w:tcW w:w="1160" w:type="dxa"/>
            <w:tcBorders>
              <w:top w:val="single" w:sz="4" w:space="0" w:color="auto"/>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1.1</w:t>
            </w:r>
          </w:p>
        </w:tc>
        <w:tc>
          <w:tcPr>
            <w:tcW w:w="1160" w:type="dxa"/>
            <w:tcBorders>
              <w:top w:val="single" w:sz="4" w:space="0" w:color="auto"/>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1.2</w:t>
            </w:r>
          </w:p>
        </w:tc>
        <w:tc>
          <w:tcPr>
            <w:tcW w:w="1160" w:type="dxa"/>
            <w:tcBorders>
              <w:top w:val="single" w:sz="4" w:space="0" w:color="auto"/>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1.3</w:t>
            </w:r>
          </w:p>
        </w:tc>
      </w:tr>
      <w:tr w:rsidR="00896CBD" w:rsidRPr="00DC3183" w:rsidTr="00D35037">
        <w:trPr>
          <w:trHeight w:val="255"/>
          <w:jc w:val="center"/>
        </w:trPr>
        <w:tc>
          <w:tcPr>
            <w:tcW w:w="1920" w:type="dxa"/>
            <w:tcBorders>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Model</w:t>
            </w:r>
          </w:p>
        </w:tc>
        <w:tc>
          <w:tcPr>
            <w:tcW w:w="1160" w:type="dxa"/>
            <w:tcBorders>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1</w:t>
            </w:r>
          </w:p>
        </w:tc>
        <w:tc>
          <w:tcPr>
            <w:tcW w:w="1160" w:type="dxa"/>
            <w:tcBorders>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2</w:t>
            </w:r>
          </w:p>
        </w:tc>
        <w:tc>
          <w:tcPr>
            <w:tcW w:w="1160" w:type="dxa"/>
            <w:tcBorders>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3</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Variables</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m:oMathPara>
              <m:oMath>
                <m:r>
                  <w:rPr>
                    <w:rFonts w:ascii="Cambria Math" w:eastAsia="Times New Roman" w:hAnsi="Cambria Math" w:cs="Times New Roman"/>
                    <w:sz w:val="18"/>
                    <w:szCs w:val="18"/>
                    <w:lang w:eastAsia="es-CO"/>
                  </w:rPr>
                  <m:t>CO</m:t>
                </m:r>
              </m:oMath>
            </m:oMathPara>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m:oMathPara>
              <m:oMath>
                <m:r>
                  <w:rPr>
                    <w:rFonts w:ascii="Cambria Math" w:eastAsia="Times New Roman" w:hAnsi="Cambria Math" w:cs="Times New Roman"/>
                    <w:sz w:val="18"/>
                    <w:szCs w:val="18"/>
                    <w:lang w:eastAsia="es-CO"/>
                  </w:rPr>
                  <m:t>CO</m:t>
                </m:r>
              </m:oMath>
            </m:oMathPara>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m:oMathPara>
              <m:oMath>
                <m:r>
                  <w:rPr>
                    <w:rFonts w:ascii="Cambria Math" w:eastAsia="Times New Roman" w:hAnsi="Cambria Math" w:cs="Times New Roman"/>
                    <w:sz w:val="18"/>
                    <w:szCs w:val="18"/>
                    <w:lang w:eastAsia="es-CO"/>
                  </w:rPr>
                  <m:t>CO</m:t>
                </m:r>
              </m:oMath>
            </m:oMathPara>
          </w:p>
        </w:tc>
      </w:tr>
      <w:tr w:rsidR="00896CBD" w:rsidRPr="00DC3183" w:rsidTr="00D35037">
        <w:trPr>
          <w:trHeight w:val="255"/>
          <w:jc w:val="center"/>
        </w:trPr>
        <w:tc>
          <w:tcPr>
            <w:tcW w:w="1920" w:type="dxa"/>
            <w:tcBorders>
              <w:top w:val="single" w:sz="4" w:space="0" w:color="000000"/>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 </w:t>
            </w:r>
          </w:p>
        </w:tc>
        <w:tc>
          <w:tcPr>
            <w:tcW w:w="1160" w:type="dxa"/>
            <w:tcBorders>
              <w:top w:val="single" w:sz="4" w:space="0" w:color="000000"/>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 </w:t>
            </w:r>
          </w:p>
        </w:tc>
        <w:tc>
          <w:tcPr>
            <w:tcW w:w="1160" w:type="dxa"/>
            <w:tcBorders>
              <w:top w:val="single" w:sz="4" w:space="0" w:color="000000"/>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 </w:t>
            </w:r>
          </w:p>
        </w:tc>
        <w:tc>
          <w:tcPr>
            <w:tcW w:w="1160" w:type="dxa"/>
            <w:tcBorders>
              <w:top w:val="single" w:sz="4" w:space="0" w:color="000000"/>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 </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m:oMathPara>
              <m:oMath>
                <m:r>
                  <w:rPr>
                    <w:rFonts w:ascii="Cambria Math" w:eastAsia="Times New Roman" w:hAnsi="Cambria Math" w:cs="Times New Roman"/>
                    <w:sz w:val="18"/>
                    <w:szCs w:val="18"/>
                    <w:lang w:eastAsia="es-CO"/>
                  </w:rPr>
                  <m:t>EAI</m:t>
                </m:r>
              </m:oMath>
            </m:oMathPara>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-2.654**</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-2.524**</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-1.479*</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(0.929)</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(0.824)</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(0.693)</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m:oMathPara>
              <m:oMath>
                <m:r>
                  <w:rPr>
                    <w:rFonts w:ascii="Cambria Math" w:eastAsia="Times New Roman" w:hAnsi="Cambria Math" w:cs="Times New Roman"/>
                    <w:sz w:val="18"/>
                    <w:szCs w:val="18"/>
                    <w:lang w:eastAsia="es-CO"/>
                  </w:rPr>
                  <m:t>EA</m:t>
                </m:r>
                <m:sSup>
                  <m:sSupPr>
                    <m:ctrlPr>
                      <w:rPr>
                        <w:rFonts w:ascii="Cambria Math" w:eastAsia="Times New Roman" w:hAnsi="Cambria Math" w:cs="Times New Roman"/>
                        <w:i/>
                        <w:sz w:val="18"/>
                        <w:szCs w:val="18"/>
                        <w:lang w:eastAsia="es-CO"/>
                      </w:rPr>
                    </m:ctrlPr>
                  </m:sSupPr>
                  <m:e>
                    <m:r>
                      <w:rPr>
                        <w:rFonts w:ascii="Cambria Math" w:eastAsia="Times New Roman" w:hAnsi="Cambria Math" w:cs="Times New Roman"/>
                        <w:sz w:val="18"/>
                        <w:szCs w:val="18"/>
                        <w:lang w:eastAsia="es-CO"/>
                      </w:rPr>
                      <m:t>I</m:t>
                    </m:r>
                  </m:e>
                  <m:sup>
                    <m:r>
                      <w:rPr>
                        <w:rFonts w:ascii="Cambria Math" w:eastAsia="Times New Roman" w:hAnsi="Cambria Math" w:cs="Times New Roman"/>
                        <w:sz w:val="18"/>
                        <w:szCs w:val="18"/>
                        <w:lang w:eastAsia="es-CO"/>
                      </w:rPr>
                      <m:t>2</m:t>
                    </m:r>
                  </m:sup>
                </m:sSup>
              </m:oMath>
            </m:oMathPara>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0.0149**</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0.0141**</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0.00854*</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(0.00508)</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(0.00448)</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(0.00379)</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m:oMathPara>
              <m:oMath>
                <m:r>
                  <w:rPr>
                    <w:rFonts w:ascii="Cambria Math" w:eastAsia="Times New Roman" w:hAnsi="Cambria Math" w:cs="Times New Roman"/>
                    <w:sz w:val="18"/>
                    <w:szCs w:val="18"/>
                    <w:lang w:eastAsia="es-CO"/>
                  </w:rPr>
                  <m:t>UE</m:t>
                </m:r>
              </m:oMath>
            </m:oMathPara>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-0.0543</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-0.208***</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(0.0327)</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(0.0326)</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m:oMathPara>
              <m:oMath>
                <m:r>
                  <w:rPr>
                    <w:rFonts w:ascii="Cambria Math" w:eastAsia="Times New Roman" w:hAnsi="Cambria Math" w:cs="Times New Roman"/>
                    <w:sz w:val="18"/>
                    <w:szCs w:val="18"/>
                    <w:lang w:eastAsia="es-CO"/>
                  </w:rPr>
                  <m:t>CPI</m:t>
                </m:r>
              </m:oMath>
            </m:oMathPara>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0.223***</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(0.0295)</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m:oMathPara>
              <m:oMath>
                <m:r>
                  <w:rPr>
                    <w:rFonts w:ascii="Cambria Math" w:eastAsia="Times New Roman" w:hAnsi="Cambria Math" w:cs="Times New Roman"/>
                    <w:sz w:val="18"/>
                    <w:szCs w:val="18"/>
                    <w:lang w:eastAsia="es-CO"/>
                  </w:rPr>
                  <m:t>Cov-19</m:t>
                </m:r>
              </m:oMath>
            </m:oMathPara>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3.10e-07***</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3.05e-07***</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1.48e-07***</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(2.96e-08)</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(2.81e-08)</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(3.78e-08)</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Time Effects</w:t>
            </w: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No</w:t>
            </w: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No</w:t>
            </w: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Yes</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Root MSE</w:t>
            </w: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2.4949</w:t>
            </w: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2.4922</w:t>
            </w: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2.1864</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Prob &gt; F</w:t>
            </w: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0.0000</w:t>
            </w: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0.0000</w:t>
            </w:r>
          </w:p>
        </w:tc>
        <w:tc>
          <w:tcPr>
            <w:tcW w:w="1160" w:type="dxa"/>
            <w:tcBorders>
              <w:top w:val="nil"/>
              <w:left w:val="nil"/>
              <w:bottom w:val="nil"/>
              <w:right w:val="nil"/>
            </w:tcBorders>
            <w:shd w:val="clear" w:color="auto" w:fill="auto"/>
            <w:noWrap/>
            <w:vAlign w:val="bottom"/>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0.0000</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Constant</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119.5**</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114.8**</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43.26</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(42.08)</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(37.68)</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(32.69)</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Observations</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350</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350</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350</w:t>
            </w:r>
          </w:p>
        </w:tc>
      </w:tr>
      <w:tr w:rsidR="00896CBD" w:rsidRPr="00DC3183"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R-squared</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0.027</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0.032</w:t>
            </w:r>
          </w:p>
        </w:tc>
        <w:tc>
          <w:tcPr>
            <w:tcW w:w="1160" w:type="dxa"/>
            <w:tcBorders>
              <w:top w:val="nil"/>
              <w:left w:val="nil"/>
              <w:bottom w:val="nil"/>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0.262</w:t>
            </w:r>
          </w:p>
        </w:tc>
      </w:tr>
      <w:tr w:rsidR="00896CBD" w:rsidRPr="00DC3183" w:rsidTr="00D35037">
        <w:trPr>
          <w:trHeight w:val="255"/>
          <w:jc w:val="center"/>
        </w:trPr>
        <w:tc>
          <w:tcPr>
            <w:tcW w:w="1920" w:type="dxa"/>
            <w:tcBorders>
              <w:top w:val="nil"/>
              <w:left w:val="nil"/>
              <w:bottom w:val="single" w:sz="4" w:space="0" w:color="000000"/>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Number of groups</w:t>
            </w:r>
          </w:p>
        </w:tc>
        <w:tc>
          <w:tcPr>
            <w:tcW w:w="1160" w:type="dxa"/>
            <w:tcBorders>
              <w:top w:val="nil"/>
              <w:left w:val="nil"/>
              <w:bottom w:val="single" w:sz="4" w:space="0" w:color="000000"/>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8</w:t>
            </w:r>
          </w:p>
        </w:tc>
        <w:tc>
          <w:tcPr>
            <w:tcW w:w="1160" w:type="dxa"/>
            <w:tcBorders>
              <w:top w:val="nil"/>
              <w:left w:val="nil"/>
              <w:bottom w:val="single" w:sz="4" w:space="0" w:color="000000"/>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8</w:t>
            </w:r>
          </w:p>
        </w:tc>
        <w:tc>
          <w:tcPr>
            <w:tcW w:w="1160" w:type="dxa"/>
            <w:tcBorders>
              <w:top w:val="nil"/>
              <w:left w:val="nil"/>
              <w:bottom w:val="single" w:sz="4" w:space="0" w:color="000000"/>
              <w:right w:val="nil"/>
            </w:tcBorders>
            <w:shd w:val="clear" w:color="auto" w:fill="auto"/>
            <w:noWrap/>
            <w:vAlign w:val="bottom"/>
            <w:hideMark/>
          </w:tcPr>
          <w:p w:rsidR="00896CBD" w:rsidRPr="00DC3183" w:rsidRDefault="00896CBD" w:rsidP="00D35037">
            <w:pPr>
              <w:spacing w:after="0" w:line="240" w:lineRule="auto"/>
              <w:jc w:val="center"/>
              <w:rPr>
                <w:rFonts w:ascii="Times New Roman" w:eastAsia="Times New Roman" w:hAnsi="Times New Roman" w:cs="Times New Roman"/>
                <w:sz w:val="18"/>
                <w:szCs w:val="18"/>
                <w:lang w:eastAsia="es-CO"/>
              </w:rPr>
            </w:pPr>
            <w:r w:rsidRPr="00DC3183">
              <w:rPr>
                <w:rFonts w:ascii="Times New Roman" w:eastAsia="Times New Roman" w:hAnsi="Times New Roman" w:cs="Times New Roman"/>
                <w:sz w:val="18"/>
                <w:szCs w:val="18"/>
                <w:lang w:eastAsia="es-CO"/>
              </w:rPr>
              <w:t>8</w:t>
            </w:r>
          </w:p>
        </w:tc>
      </w:tr>
    </w:tbl>
    <w:p w:rsidR="00896CBD" w:rsidRDefault="00896CBD" w:rsidP="00896CBD">
      <w:pPr>
        <w:rPr>
          <w:rFonts w:ascii="Times New Roman" w:hAnsi="Times New Roman" w:cs="Times New Roman"/>
          <w:sz w:val="20"/>
          <w:szCs w:val="20"/>
          <w:lang w:val="en-US"/>
        </w:rPr>
      </w:pPr>
      <w:r w:rsidRPr="00DC3183">
        <w:rPr>
          <w:rFonts w:ascii="Times New Roman" w:hAnsi="Times New Roman" w:cs="Times New Roman"/>
          <w:sz w:val="20"/>
          <w:szCs w:val="20"/>
          <w:lang w:val="en-US"/>
        </w:rPr>
        <w:t>Note: Driscoll-Kraay estimator was selected using the lag length specification from Hoechle (2007). Computations are done with Stata 16, Source. Own elaboration (2021).</w:t>
      </w:r>
    </w:p>
    <w:p w:rsidR="00896CBD" w:rsidRDefault="00896CBD" w:rsidP="00896CBD">
      <w:pPr>
        <w:rPr>
          <w:rFonts w:ascii="Times New Roman" w:hAnsi="Times New Roman" w:cs="Times New Roman"/>
          <w:sz w:val="20"/>
          <w:szCs w:val="20"/>
          <w:lang w:val="en-US"/>
        </w:rPr>
      </w:pPr>
      <w:r>
        <w:rPr>
          <w:rFonts w:ascii="Times New Roman" w:hAnsi="Times New Roman" w:cs="Times New Roman"/>
          <w:sz w:val="20"/>
          <w:szCs w:val="20"/>
          <w:lang w:val="en-US"/>
        </w:rPr>
        <w:br w:type="page"/>
      </w:r>
    </w:p>
    <w:p w:rsidR="00896CBD" w:rsidRPr="008846F2" w:rsidRDefault="00896CBD" w:rsidP="00896CBD">
      <w:pPr>
        <w:jc w:val="center"/>
        <w:rPr>
          <w:rFonts w:ascii="Times New Roman" w:hAnsi="Times New Roman" w:cs="Times New Roman"/>
          <w:sz w:val="16"/>
          <w:szCs w:val="16"/>
          <w:lang w:val="en-US"/>
        </w:rPr>
      </w:pPr>
      <w:r w:rsidRPr="00DC3183">
        <w:rPr>
          <w:rFonts w:ascii="Times New Roman" w:hAnsi="Times New Roman" w:cs="Times New Roman"/>
          <w:sz w:val="20"/>
          <w:szCs w:val="20"/>
          <w:lang w:val="en-US"/>
        </w:rPr>
        <w:lastRenderedPageBreak/>
        <w:t>Table A</w:t>
      </w:r>
      <w:r>
        <w:rPr>
          <w:rFonts w:ascii="Times New Roman" w:hAnsi="Times New Roman" w:cs="Times New Roman"/>
          <w:sz w:val="20"/>
          <w:szCs w:val="20"/>
          <w:lang w:val="en-US"/>
        </w:rPr>
        <w:t>6</w:t>
      </w:r>
      <w:r w:rsidRPr="00DC3183">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Short-run </w:t>
      </w:r>
      <w:r w:rsidRPr="00DC3183">
        <w:rPr>
          <w:rFonts w:ascii="Times New Roman" w:hAnsi="Times New Roman" w:cs="Times New Roman"/>
          <w:sz w:val="20"/>
          <w:szCs w:val="20"/>
          <w:lang w:val="en-US"/>
        </w:rPr>
        <w:t>Driscoll-Kraay Regressions</w:t>
      </w:r>
    </w:p>
    <w:tbl>
      <w:tblPr>
        <w:tblW w:w="5400" w:type="dxa"/>
        <w:jc w:val="center"/>
        <w:tblCellMar>
          <w:left w:w="70" w:type="dxa"/>
          <w:right w:w="70" w:type="dxa"/>
        </w:tblCellMar>
        <w:tblLook w:val="04A0" w:firstRow="1" w:lastRow="0" w:firstColumn="1" w:lastColumn="0" w:noHBand="0" w:noVBand="1"/>
      </w:tblPr>
      <w:tblGrid>
        <w:gridCol w:w="1920"/>
        <w:gridCol w:w="1160"/>
        <w:gridCol w:w="1160"/>
        <w:gridCol w:w="1160"/>
      </w:tblGrid>
      <w:tr w:rsidR="00896CBD" w:rsidRPr="008846F2" w:rsidTr="00D35037">
        <w:trPr>
          <w:trHeight w:val="255"/>
          <w:jc w:val="center"/>
        </w:trPr>
        <w:tc>
          <w:tcPr>
            <w:tcW w:w="1920" w:type="dxa"/>
            <w:tcBorders>
              <w:top w:val="single" w:sz="4" w:space="0" w:color="auto"/>
              <w:left w:val="nil"/>
              <w:bottom w:val="nil"/>
              <w:right w:val="nil"/>
            </w:tcBorders>
            <w:shd w:val="clear" w:color="auto" w:fill="auto"/>
            <w:noWrap/>
            <w:vAlign w:val="bottom"/>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ECM Specification</w:t>
            </w:r>
          </w:p>
        </w:tc>
        <w:tc>
          <w:tcPr>
            <w:tcW w:w="1160" w:type="dxa"/>
            <w:tcBorders>
              <w:top w:val="single" w:sz="4" w:space="0" w:color="auto"/>
              <w:left w:val="nil"/>
              <w:bottom w:val="nil"/>
              <w:right w:val="nil"/>
            </w:tcBorders>
            <w:shd w:val="clear" w:color="auto" w:fill="auto"/>
            <w:noWrap/>
            <w:vAlign w:val="bottom"/>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1.1</w:t>
            </w:r>
          </w:p>
        </w:tc>
        <w:tc>
          <w:tcPr>
            <w:tcW w:w="1160" w:type="dxa"/>
            <w:tcBorders>
              <w:top w:val="single" w:sz="4" w:space="0" w:color="auto"/>
              <w:left w:val="nil"/>
              <w:bottom w:val="nil"/>
              <w:right w:val="nil"/>
            </w:tcBorders>
            <w:shd w:val="clear" w:color="auto" w:fill="auto"/>
            <w:noWrap/>
            <w:vAlign w:val="bottom"/>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1.2</w:t>
            </w:r>
          </w:p>
        </w:tc>
        <w:tc>
          <w:tcPr>
            <w:tcW w:w="1160" w:type="dxa"/>
            <w:tcBorders>
              <w:top w:val="single" w:sz="4" w:space="0" w:color="auto"/>
              <w:left w:val="nil"/>
              <w:bottom w:val="nil"/>
              <w:right w:val="nil"/>
            </w:tcBorders>
            <w:shd w:val="clear" w:color="auto" w:fill="auto"/>
            <w:noWrap/>
            <w:vAlign w:val="bottom"/>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1.3</w:t>
            </w:r>
          </w:p>
        </w:tc>
      </w:tr>
      <w:tr w:rsidR="00896CBD" w:rsidRPr="008846F2" w:rsidTr="00D35037">
        <w:trPr>
          <w:trHeight w:val="255"/>
          <w:jc w:val="center"/>
        </w:trPr>
        <w:tc>
          <w:tcPr>
            <w:tcW w:w="1920" w:type="dxa"/>
            <w:tcBorders>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Model</w:t>
            </w:r>
          </w:p>
        </w:tc>
        <w:tc>
          <w:tcPr>
            <w:tcW w:w="1160" w:type="dxa"/>
            <w:tcBorders>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ECM (1)</w:t>
            </w:r>
          </w:p>
        </w:tc>
        <w:tc>
          <w:tcPr>
            <w:tcW w:w="1160" w:type="dxa"/>
            <w:tcBorders>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ECM (2)</w:t>
            </w:r>
          </w:p>
        </w:tc>
        <w:tc>
          <w:tcPr>
            <w:tcW w:w="1160" w:type="dxa"/>
            <w:tcBorders>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ECM (3)</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Variables</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m:oMathPara>
              <m:oMath>
                <m:r>
                  <w:rPr>
                    <w:rFonts w:ascii="Cambria Math" w:eastAsia="Times New Roman" w:hAnsi="Cambria Math" w:cs="Times New Roman"/>
                    <w:sz w:val="18"/>
                    <w:szCs w:val="18"/>
                    <w:lang w:val="en-US" w:eastAsia="es-CO"/>
                  </w:rPr>
                  <m:t>∆CO</m:t>
                </m:r>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m:oMathPara>
              <m:oMath>
                <m:r>
                  <w:rPr>
                    <w:rFonts w:ascii="Cambria Math" w:eastAsia="Times New Roman" w:hAnsi="Cambria Math" w:cs="Times New Roman"/>
                    <w:sz w:val="18"/>
                    <w:szCs w:val="18"/>
                    <w:lang w:val="en-US" w:eastAsia="es-CO"/>
                  </w:rPr>
                  <m:t>∆CO</m:t>
                </m:r>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m:oMathPara>
              <m:oMath>
                <m:r>
                  <w:rPr>
                    <w:rFonts w:ascii="Cambria Math" w:eastAsia="Times New Roman" w:hAnsi="Cambria Math" w:cs="Times New Roman"/>
                    <w:sz w:val="18"/>
                    <w:szCs w:val="18"/>
                    <w:lang w:val="en-US" w:eastAsia="es-CO"/>
                  </w:rPr>
                  <m:t>∆CO</m:t>
                </m:r>
              </m:oMath>
            </m:oMathPara>
          </w:p>
        </w:tc>
      </w:tr>
      <w:tr w:rsidR="00896CBD" w:rsidRPr="008846F2" w:rsidTr="00D35037">
        <w:trPr>
          <w:trHeight w:val="255"/>
          <w:jc w:val="center"/>
        </w:trPr>
        <w:tc>
          <w:tcPr>
            <w:tcW w:w="1920" w:type="dxa"/>
            <w:tcBorders>
              <w:top w:val="single" w:sz="4" w:space="0" w:color="000000"/>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 </w:t>
            </w:r>
          </w:p>
        </w:tc>
        <w:tc>
          <w:tcPr>
            <w:tcW w:w="1160" w:type="dxa"/>
            <w:tcBorders>
              <w:top w:val="single" w:sz="4" w:space="0" w:color="000000"/>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 </w:t>
            </w:r>
          </w:p>
        </w:tc>
        <w:tc>
          <w:tcPr>
            <w:tcW w:w="1160" w:type="dxa"/>
            <w:tcBorders>
              <w:top w:val="single" w:sz="4" w:space="0" w:color="000000"/>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 </w:t>
            </w:r>
          </w:p>
        </w:tc>
        <w:tc>
          <w:tcPr>
            <w:tcW w:w="1160" w:type="dxa"/>
            <w:tcBorders>
              <w:top w:val="single" w:sz="4" w:space="0" w:color="000000"/>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 </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m:oMathPara>
              <m:oMath>
                <m:r>
                  <w:rPr>
                    <w:rFonts w:ascii="Cambria Math" w:eastAsia="Times New Roman" w:hAnsi="Cambria Math" w:cs="Times New Roman"/>
                    <w:sz w:val="18"/>
                    <w:szCs w:val="18"/>
                    <w:lang w:eastAsia="es-CO"/>
                  </w:rPr>
                  <m:t>∆EAI</m:t>
                </m:r>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44.69</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42.17</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48.60</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(57.94)</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(58.08)</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(58.14)</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m:oMathPara>
              <m:oMath>
                <m:r>
                  <w:rPr>
                    <w:rFonts w:ascii="Cambria Math" w:eastAsia="Times New Roman" w:hAnsi="Cambria Math" w:cs="Times New Roman"/>
                    <w:sz w:val="18"/>
                    <w:szCs w:val="18"/>
                    <w:lang w:eastAsia="es-CO"/>
                  </w:rPr>
                  <m:t>∆EA</m:t>
                </m:r>
                <m:sSup>
                  <m:sSupPr>
                    <m:ctrlPr>
                      <w:rPr>
                        <w:rFonts w:ascii="Cambria Math" w:eastAsia="Times New Roman" w:hAnsi="Cambria Math" w:cs="Times New Roman"/>
                        <w:i/>
                        <w:sz w:val="18"/>
                        <w:szCs w:val="18"/>
                        <w:lang w:eastAsia="es-CO"/>
                      </w:rPr>
                    </m:ctrlPr>
                  </m:sSupPr>
                  <m:e>
                    <m:r>
                      <w:rPr>
                        <w:rFonts w:ascii="Cambria Math" w:eastAsia="Times New Roman" w:hAnsi="Cambria Math" w:cs="Times New Roman"/>
                        <w:sz w:val="18"/>
                        <w:szCs w:val="18"/>
                        <w:lang w:eastAsia="es-CO"/>
                      </w:rPr>
                      <m:t>I</m:t>
                    </m:r>
                  </m:e>
                  <m:sup>
                    <m:r>
                      <w:rPr>
                        <w:rFonts w:ascii="Cambria Math" w:eastAsia="Times New Roman" w:hAnsi="Cambria Math" w:cs="Times New Roman"/>
                        <w:sz w:val="18"/>
                        <w:szCs w:val="18"/>
                        <w:lang w:eastAsia="es-CO"/>
                      </w:rPr>
                      <m:t>2</m:t>
                    </m:r>
                  </m:sup>
                </m:sSup>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-0.226</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-0.214</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-0.246</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(0.291)</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(0.292)</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(0.292)</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m:oMathPara>
              <m:oMath>
                <m:r>
                  <w:rPr>
                    <w:rFonts w:ascii="Cambria Math" w:eastAsia="Times New Roman" w:hAnsi="Cambria Math" w:cs="Times New Roman"/>
                    <w:sz w:val="18"/>
                    <w:szCs w:val="18"/>
                    <w:lang w:eastAsia="es-CO"/>
                  </w:rPr>
                  <m:t>∆UE</m:t>
                </m:r>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0.136</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0.112</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(0.113)</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(0.113)</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m:oMathPara>
              <m:oMath>
                <m:r>
                  <w:rPr>
                    <w:rFonts w:ascii="Cambria Math" w:eastAsia="Times New Roman" w:hAnsi="Cambria Math" w:cs="Times New Roman"/>
                    <w:sz w:val="18"/>
                    <w:szCs w:val="18"/>
                    <w:lang w:eastAsia="es-CO"/>
                  </w:rPr>
                  <m:t>∆CPI</m:t>
                </m:r>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-0.0385</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(0.112)</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m:oMathPara>
              <m:oMath>
                <m:r>
                  <w:rPr>
                    <w:rFonts w:ascii="Cambria Math" w:eastAsia="Times New Roman" w:hAnsi="Cambria Math" w:cs="Times New Roman"/>
                    <w:sz w:val="18"/>
                    <w:szCs w:val="18"/>
                    <w:lang w:eastAsia="es-CO"/>
                  </w:rPr>
                  <m:t>∆Cov</m:t>
                </m:r>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m:oMathPara>
              <m:oMath>
                <m:sSub>
                  <m:sSubPr>
                    <m:ctrlPr>
                      <w:rPr>
                        <w:rFonts w:ascii="Cambria Math" w:eastAsia="Times New Roman" w:hAnsi="Cambria Math" w:cs="Times New Roman"/>
                        <w:i/>
                        <w:sz w:val="18"/>
                        <w:szCs w:val="18"/>
                        <w:lang w:val="en-US" w:eastAsia="es-CO"/>
                      </w:rPr>
                    </m:ctrlPr>
                  </m:sSubPr>
                  <m:e>
                    <m:r>
                      <w:rPr>
                        <w:rFonts w:ascii="Cambria Math" w:eastAsia="Times New Roman" w:hAnsi="Cambria Math" w:cs="Times New Roman"/>
                        <w:sz w:val="18"/>
                        <w:szCs w:val="18"/>
                        <w:lang w:val="en-US" w:eastAsia="es-CO"/>
                      </w:rPr>
                      <m:t>e</m:t>
                    </m:r>
                  </m:e>
                  <m:sub>
                    <m:r>
                      <w:rPr>
                        <w:rFonts w:ascii="Cambria Math" w:eastAsia="Times New Roman" w:hAnsi="Cambria Math" w:cs="Times New Roman"/>
                        <w:sz w:val="18"/>
                        <w:szCs w:val="18"/>
                        <w:lang w:val="en-US" w:eastAsia="es-CO"/>
                      </w:rPr>
                      <m:t>it-1</m:t>
                    </m:r>
                  </m:sub>
                </m:sSub>
                <m:r>
                  <w:rPr>
                    <w:rFonts w:ascii="Cambria Math" w:eastAsia="Times New Roman" w:hAnsi="Cambria Math" w:cs="Times New Roman"/>
                    <w:sz w:val="18"/>
                    <w:szCs w:val="18"/>
                    <w:lang w:val="en-US" w:eastAsia="es-CO"/>
                  </w:rPr>
                  <m:t xml:space="preserve"> (1.3)</m:t>
                </m:r>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-0.0719*</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(0.0371)</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m:oMathPara>
              <m:oMath>
                <m:sSub>
                  <m:sSubPr>
                    <m:ctrlPr>
                      <w:rPr>
                        <w:rFonts w:ascii="Cambria Math" w:eastAsia="Times New Roman" w:hAnsi="Cambria Math" w:cs="Times New Roman"/>
                        <w:i/>
                        <w:sz w:val="18"/>
                        <w:szCs w:val="18"/>
                        <w:lang w:val="en-US" w:eastAsia="es-CO"/>
                      </w:rPr>
                    </m:ctrlPr>
                  </m:sSubPr>
                  <m:e>
                    <m:r>
                      <w:rPr>
                        <w:rFonts w:ascii="Cambria Math" w:eastAsia="Times New Roman" w:hAnsi="Cambria Math" w:cs="Times New Roman"/>
                        <w:sz w:val="18"/>
                        <w:szCs w:val="18"/>
                        <w:lang w:val="en-US" w:eastAsia="es-CO"/>
                      </w:rPr>
                      <m:t>e</m:t>
                    </m:r>
                  </m:e>
                  <m:sub>
                    <m:r>
                      <w:rPr>
                        <w:rFonts w:ascii="Cambria Math" w:eastAsia="Times New Roman" w:hAnsi="Cambria Math" w:cs="Times New Roman"/>
                        <w:sz w:val="18"/>
                        <w:szCs w:val="18"/>
                        <w:lang w:val="en-US" w:eastAsia="es-CO"/>
                      </w:rPr>
                      <m:t>it-1</m:t>
                    </m:r>
                  </m:sub>
                </m:sSub>
                <m:r>
                  <w:rPr>
                    <w:rFonts w:ascii="Cambria Math" w:eastAsia="Times New Roman" w:hAnsi="Cambria Math" w:cs="Times New Roman"/>
                    <w:sz w:val="18"/>
                    <w:szCs w:val="18"/>
                    <w:lang w:val="en-US" w:eastAsia="es-CO"/>
                  </w:rPr>
                  <m:t xml:space="preserve"> (1.2)</m:t>
                </m:r>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-0.0638**</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(0.0241)</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m:oMathPara>
              <m:oMath>
                <m:sSub>
                  <m:sSubPr>
                    <m:ctrlPr>
                      <w:rPr>
                        <w:rFonts w:ascii="Cambria Math" w:eastAsia="Times New Roman" w:hAnsi="Cambria Math" w:cs="Times New Roman"/>
                        <w:i/>
                        <w:sz w:val="18"/>
                        <w:szCs w:val="18"/>
                        <w:lang w:val="en-US" w:eastAsia="es-CO"/>
                      </w:rPr>
                    </m:ctrlPr>
                  </m:sSubPr>
                  <m:e>
                    <m:r>
                      <w:rPr>
                        <w:rFonts w:ascii="Cambria Math" w:eastAsia="Times New Roman" w:hAnsi="Cambria Math" w:cs="Times New Roman"/>
                        <w:sz w:val="18"/>
                        <w:szCs w:val="18"/>
                        <w:lang w:val="en-US" w:eastAsia="es-CO"/>
                      </w:rPr>
                      <m:t>e</m:t>
                    </m:r>
                  </m:e>
                  <m:sub>
                    <m:r>
                      <w:rPr>
                        <w:rFonts w:ascii="Cambria Math" w:eastAsia="Times New Roman" w:hAnsi="Cambria Math" w:cs="Times New Roman"/>
                        <w:sz w:val="18"/>
                        <w:szCs w:val="18"/>
                        <w:lang w:val="en-US" w:eastAsia="es-CO"/>
                      </w:rPr>
                      <m:t>it-1</m:t>
                    </m:r>
                  </m:sub>
                </m:sSub>
                <m:r>
                  <w:rPr>
                    <w:rFonts w:ascii="Cambria Math" w:eastAsia="Times New Roman" w:hAnsi="Cambria Math" w:cs="Times New Roman"/>
                    <w:sz w:val="18"/>
                    <w:szCs w:val="18"/>
                    <w:lang w:val="en-US" w:eastAsia="es-CO"/>
                  </w:rPr>
                  <m:t xml:space="preserve"> (1.1)</m:t>
                </m:r>
              </m:oMath>
            </m:oMathPara>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-0.0628**</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(0.0248)</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Constant</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-0.0711</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-0.0696</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-0.0364</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(0.0390)</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(0.0390)</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(0.0538)</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Pr>
                <w:rFonts w:ascii="Times New Roman" w:eastAsia="Times New Roman" w:hAnsi="Times New Roman" w:cs="Times New Roman"/>
                <w:sz w:val="18"/>
                <w:szCs w:val="18"/>
                <w:lang w:val="en-US" w:eastAsia="es-CO"/>
              </w:rPr>
              <w:t>Time Effects</w:t>
            </w:r>
          </w:p>
        </w:tc>
        <w:tc>
          <w:tcPr>
            <w:tcW w:w="1160" w:type="dxa"/>
            <w:tcBorders>
              <w:top w:val="nil"/>
              <w:left w:val="nil"/>
              <w:bottom w:val="nil"/>
              <w:right w:val="nil"/>
            </w:tcBorders>
            <w:shd w:val="clear" w:color="auto" w:fill="auto"/>
            <w:noWrap/>
            <w:vAlign w:val="bottom"/>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Pr>
                <w:rFonts w:ascii="Times New Roman" w:eastAsia="Times New Roman" w:hAnsi="Times New Roman" w:cs="Times New Roman"/>
                <w:sz w:val="18"/>
                <w:szCs w:val="18"/>
                <w:lang w:val="en-US" w:eastAsia="es-CO"/>
              </w:rPr>
              <w:t>No</w:t>
            </w:r>
          </w:p>
        </w:tc>
        <w:tc>
          <w:tcPr>
            <w:tcW w:w="1160" w:type="dxa"/>
            <w:tcBorders>
              <w:top w:val="nil"/>
              <w:left w:val="nil"/>
              <w:bottom w:val="nil"/>
              <w:right w:val="nil"/>
            </w:tcBorders>
            <w:shd w:val="clear" w:color="auto" w:fill="auto"/>
            <w:noWrap/>
            <w:vAlign w:val="bottom"/>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Pr>
                <w:rFonts w:ascii="Times New Roman" w:eastAsia="Times New Roman" w:hAnsi="Times New Roman" w:cs="Times New Roman"/>
                <w:sz w:val="18"/>
                <w:szCs w:val="18"/>
                <w:lang w:val="en-US" w:eastAsia="es-CO"/>
              </w:rPr>
              <w:t>No</w:t>
            </w:r>
          </w:p>
        </w:tc>
        <w:tc>
          <w:tcPr>
            <w:tcW w:w="1160" w:type="dxa"/>
            <w:tcBorders>
              <w:top w:val="nil"/>
              <w:left w:val="nil"/>
              <w:bottom w:val="nil"/>
              <w:right w:val="nil"/>
            </w:tcBorders>
            <w:shd w:val="clear" w:color="auto" w:fill="auto"/>
            <w:noWrap/>
            <w:vAlign w:val="bottom"/>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Pr>
                <w:rFonts w:ascii="Times New Roman" w:eastAsia="Times New Roman" w:hAnsi="Times New Roman" w:cs="Times New Roman"/>
                <w:sz w:val="18"/>
                <w:szCs w:val="18"/>
                <w:lang w:val="en-US" w:eastAsia="es-CO"/>
              </w:rPr>
              <w:t>Yes</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Root MSE</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0.7624</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0.763</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0.7651</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Prob &gt; F</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0.0052</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0.0094</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0.0198</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Observations</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272</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272</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272</w:t>
            </w:r>
          </w:p>
        </w:tc>
      </w:tr>
      <w:tr w:rsidR="00896CBD" w:rsidRPr="008846F2" w:rsidTr="00D35037">
        <w:trPr>
          <w:trHeight w:val="255"/>
          <w:jc w:val="center"/>
        </w:trPr>
        <w:tc>
          <w:tcPr>
            <w:tcW w:w="192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R-squared</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0.047</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0.049</w:t>
            </w:r>
          </w:p>
        </w:tc>
        <w:tc>
          <w:tcPr>
            <w:tcW w:w="1160" w:type="dxa"/>
            <w:tcBorders>
              <w:top w:val="nil"/>
              <w:left w:val="nil"/>
              <w:bottom w:val="nil"/>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0.051</w:t>
            </w:r>
          </w:p>
        </w:tc>
      </w:tr>
      <w:tr w:rsidR="00896CBD" w:rsidRPr="008846F2" w:rsidTr="00D35037">
        <w:trPr>
          <w:trHeight w:val="255"/>
          <w:jc w:val="center"/>
        </w:trPr>
        <w:tc>
          <w:tcPr>
            <w:tcW w:w="1920" w:type="dxa"/>
            <w:tcBorders>
              <w:top w:val="nil"/>
              <w:left w:val="nil"/>
              <w:bottom w:val="single" w:sz="4" w:space="0" w:color="000000"/>
              <w:right w:val="nil"/>
            </w:tcBorders>
            <w:shd w:val="clear" w:color="auto" w:fill="auto"/>
            <w:noWrap/>
            <w:vAlign w:val="bottom"/>
            <w:hideMark/>
          </w:tcPr>
          <w:p w:rsidR="00896CBD" w:rsidRPr="008846F2" w:rsidRDefault="00896CBD" w:rsidP="00D35037">
            <w:pPr>
              <w:spacing w:after="0" w:line="240" w:lineRule="auto"/>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Number of groups</w:t>
            </w:r>
          </w:p>
        </w:tc>
        <w:tc>
          <w:tcPr>
            <w:tcW w:w="1160" w:type="dxa"/>
            <w:tcBorders>
              <w:top w:val="nil"/>
              <w:left w:val="nil"/>
              <w:bottom w:val="single" w:sz="4" w:space="0" w:color="000000"/>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8</w:t>
            </w:r>
          </w:p>
        </w:tc>
        <w:tc>
          <w:tcPr>
            <w:tcW w:w="1160" w:type="dxa"/>
            <w:tcBorders>
              <w:top w:val="nil"/>
              <w:left w:val="nil"/>
              <w:bottom w:val="single" w:sz="4" w:space="0" w:color="000000"/>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8</w:t>
            </w:r>
          </w:p>
        </w:tc>
        <w:tc>
          <w:tcPr>
            <w:tcW w:w="1160" w:type="dxa"/>
            <w:tcBorders>
              <w:top w:val="nil"/>
              <w:left w:val="nil"/>
              <w:bottom w:val="single" w:sz="4" w:space="0" w:color="000000"/>
              <w:right w:val="nil"/>
            </w:tcBorders>
            <w:shd w:val="clear" w:color="auto" w:fill="auto"/>
            <w:noWrap/>
            <w:vAlign w:val="bottom"/>
            <w:hideMark/>
          </w:tcPr>
          <w:p w:rsidR="00896CBD" w:rsidRPr="008846F2" w:rsidRDefault="00896CBD" w:rsidP="00D35037">
            <w:pPr>
              <w:spacing w:after="0" w:line="240" w:lineRule="auto"/>
              <w:jc w:val="center"/>
              <w:rPr>
                <w:rFonts w:ascii="Times New Roman" w:eastAsia="Times New Roman" w:hAnsi="Times New Roman" w:cs="Times New Roman"/>
                <w:sz w:val="18"/>
                <w:szCs w:val="18"/>
                <w:lang w:val="en-US" w:eastAsia="es-CO"/>
              </w:rPr>
            </w:pPr>
            <w:r w:rsidRPr="008846F2">
              <w:rPr>
                <w:rFonts w:ascii="Times New Roman" w:eastAsia="Times New Roman" w:hAnsi="Times New Roman" w:cs="Times New Roman"/>
                <w:sz w:val="18"/>
                <w:szCs w:val="18"/>
                <w:lang w:val="en-US" w:eastAsia="es-CO"/>
              </w:rPr>
              <w:t>8</w:t>
            </w:r>
          </w:p>
        </w:tc>
      </w:tr>
    </w:tbl>
    <w:p w:rsidR="00896CBD" w:rsidRDefault="00896CBD" w:rsidP="00896CBD">
      <w:pPr>
        <w:rPr>
          <w:rFonts w:ascii="Times New Roman" w:hAnsi="Times New Roman" w:cs="Times New Roman"/>
          <w:sz w:val="20"/>
          <w:szCs w:val="20"/>
          <w:lang w:val="en-US"/>
        </w:rPr>
      </w:pPr>
      <w:r w:rsidRPr="00DC3183">
        <w:rPr>
          <w:rFonts w:ascii="Times New Roman" w:hAnsi="Times New Roman" w:cs="Times New Roman"/>
          <w:sz w:val="20"/>
          <w:szCs w:val="20"/>
          <w:lang w:val="en-US"/>
        </w:rPr>
        <w:t>Note:</w:t>
      </w:r>
      <w:r>
        <w:rPr>
          <w:rFonts w:ascii="Times New Roman" w:hAnsi="Times New Roman" w:cs="Times New Roman"/>
          <w:sz w:val="20"/>
          <w:szCs w:val="20"/>
          <w:lang w:val="en-US"/>
        </w:rPr>
        <w:t xml:space="preserve"> Lagged values of the long-run equation are specified with parenthesis, where </w:t>
      </w:r>
      <m:oMath>
        <m:sSub>
          <m:sSubPr>
            <m:ctrlPr>
              <w:rPr>
                <w:rFonts w:ascii="Cambria Math" w:eastAsia="Times New Roman" w:hAnsi="Cambria Math" w:cs="Times New Roman"/>
                <w:i/>
                <w:sz w:val="18"/>
                <w:szCs w:val="18"/>
                <w:lang w:val="en-US" w:eastAsia="es-CO"/>
              </w:rPr>
            </m:ctrlPr>
          </m:sSubPr>
          <m:e>
            <m:r>
              <w:rPr>
                <w:rFonts w:ascii="Cambria Math" w:eastAsia="Times New Roman" w:hAnsi="Cambria Math" w:cs="Times New Roman"/>
                <w:sz w:val="18"/>
                <w:szCs w:val="18"/>
                <w:lang w:val="en-US" w:eastAsia="es-CO"/>
              </w:rPr>
              <m:t>e</m:t>
            </m:r>
          </m:e>
          <m:sub>
            <m:r>
              <w:rPr>
                <w:rFonts w:ascii="Cambria Math" w:eastAsia="Times New Roman" w:hAnsi="Cambria Math" w:cs="Times New Roman"/>
                <w:sz w:val="18"/>
                <w:szCs w:val="18"/>
                <w:lang w:val="en-US" w:eastAsia="es-CO"/>
              </w:rPr>
              <m:t>it-1</m:t>
            </m:r>
          </m:sub>
        </m:sSub>
        <m:r>
          <w:rPr>
            <w:rFonts w:ascii="Cambria Math" w:eastAsia="Times New Roman" w:hAnsi="Cambria Math" w:cs="Times New Roman"/>
            <w:sz w:val="18"/>
            <w:szCs w:val="18"/>
            <w:lang w:val="en-US" w:eastAsia="es-CO"/>
          </w:rPr>
          <m:t xml:space="preserve"> (1.1)</m:t>
        </m:r>
      </m:oMath>
      <w:r>
        <w:rPr>
          <w:rFonts w:ascii="Times New Roman" w:eastAsiaTheme="minorEastAsia" w:hAnsi="Times New Roman" w:cs="Times New Roman"/>
          <w:sz w:val="18"/>
          <w:szCs w:val="18"/>
          <w:lang w:val="en-US" w:eastAsia="es-CO"/>
        </w:rPr>
        <w:t xml:space="preserve"> are the lagged residuals of the static (1.1) equation, </w:t>
      </w:r>
      <m:oMath>
        <m:sSub>
          <m:sSubPr>
            <m:ctrlPr>
              <w:rPr>
                <w:rFonts w:ascii="Cambria Math" w:eastAsia="Times New Roman" w:hAnsi="Cambria Math" w:cs="Times New Roman"/>
                <w:i/>
                <w:sz w:val="18"/>
                <w:szCs w:val="18"/>
                <w:lang w:val="en-US" w:eastAsia="es-CO"/>
              </w:rPr>
            </m:ctrlPr>
          </m:sSubPr>
          <m:e>
            <m:r>
              <w:rPr>
                <w:rFonts w:ascii="Cambria Math" w:eastAsia="Times New Roman" w:hAnsi="Cambria Math" w:cs="Times New Roman"/>
                <w:sz w:val="18"/>
                <w:szCs w:val="18"/>
                <w:lang w:val="en-US" w:eastAsia="es-CO"/>
              </w:rPr>
              <m:t>e</m:t>
            </m:r>
          </m:e>
          <m:sub>
            <m:r>
              <w:rPr>
                <w:rFonts w:ascii="Cambria Math" w:eastAsia="Times New Roman" w:hAnsi="Cambria Math" w:cs="Times New Roman"/>
                <w:sz w:val="18"/>
                <w:szCs w:val="18"/>
                <w:lang w:val="en-US" w:eastAsia="es-CO"/>
              </w:rPr>
              <m:t>it-1</m:t>
            </m:r>
          </m:sub>
        </m:sSub>
        <m:r>
          <w:rPr>
            <w:rFonts w:ascii="Cambria Math" w:eastAsia="Times New Roman" w:hAnsi="Cambria Math" w:cs="Times New Roman"/>
            <w:sz w:val="18"/>
            <w:szCs w:val="18"/>
            <w:lang w:val="en-US" w:eastAsia="es-CO"/>
          </w:rPr>
          <m:t xml:space="preserve"> (1.2)</m:t>
        </m:r>
      </m:oMath>
      <w:r>
        <w:rPr>
          <w:rFonts w:ascii="Times New Roman" w:eastAsiaTheme="minorEastAsia" w:hAnsi="Times New Roman" w:cs="Times New Roman"/>
          <w:sz w:val="18"/>
          <w:szCs w:val="18"/>
          <w:lang w:val="en-US" w:eastAsia="es-CO"/>
        </w:rPr>
        <w:t xml:space="preserve"> are the lagged residuals of (1.2) specification, and </w:t>
      </w:r>
      <m:oMath>
        <m:sSub>
          <m:sSubPr>
            <m:ctrlPr>
              <w:rPr>
                <w:rFonts w:ascii="Cambria Math" w:eastAsia="Times New Roman" w:hAnsi="Cambria Math" w:cs="Times New Roman"/>
                <w:i/>
                <w:sz w:val="18"/>
                <w:szCs w:val="18"/>
                <w:lang w:val="en-US" w:eastAsia="es-CO"/>
              </w:rPr>
            </m:ctrlPr>
          </m:sSubPr>
          <m:e>
            <m:r>
              <w:rPr>
                <w:rFonts w:ascii="Cambria Math" w:eastAsia="Times New Roman" w:hAnsi="Cambria Math" w:cs="Times New Roman"/>
                <w:sz w:val="18"/>
                <w:szCs w:val="18"/>
                <w:lang w:val="en-US" w:eastAsia="es-CO"/>
              </w:rPr>
              <m:t>e</m:t>
            </m:r>
          </m:e>
          <m:sub>
            <m:r>
              <w:rPr>
                <w:rFonts w:ascii="Cambria Math" w:eastAsia="Times New Roman" w:hAnsi="Cambria Math" w:cs="Times New Roman"/>
                <w:sz w:val="18"/>
                <w:szCs w:val="18"/>
                <w:lang w:val="en-US" w:eastAsia="es-CO"/>
              </w:rPr>
              <m:t>it-1</m:t>
            </m:r>
          </m:sub>
        </m:sSub>
        <m:r>
          <w:rPr>
            <w:rFonts w:ascii="Cambria Math" w:eastAsia="Times New Roman" w:hAnsi="Cambria Math" w:cs="Times New Roman"/>
            <w:sz w:val="18"/>
            <w:szCs w:val="18"/>
            <w:lang w:val="en-US" w:eastAsia="es-CO"/>
          </w:rPr>
          <m:t xml:space="preserve"> (1.3)</m:t>
        </m:r>
      </m:oMath>
      <w:r>
        <w:rPr>
          <w:rFonts w:ascii="Times New Roman" w:eastAsiaTheme="minorEastAsia" w:hAnsi="Times New Roman" w:cs="Times New Roman"/>
          <w:sz w:val="18"/>
          <w:szCs w:val="18"/>
          <w:lang w:val="en-US" w:eastAsia="es-CO"/>
        </w:rPr>
        <w:t xml:space="preserve"> are the lagged residuals of specification (1.3)</w:t>
      </w:r>
      <w:r>
        <w:rPr>
          <w:rFonts w:ascii="Times New Roman" w:hAnsi="Times New Roman" w:cs="Times New Roman"/>
          <w:sz w:val="20"/>
          <w:szCs w:val="20"/>
          <w:lang w:val="en-US"/>
        </w:rPr>
        <w:t xml:space="preserve">. </w:t>
      </w:r>
      <w:r w:rsidRPr="00DC3183">
        <w:rPr>
          <w:rFonts w:ascii="Times New Roman" w:hAnsi="Times New Roman" w:cs="Times New Roman"/>
          <w:sz w:val="20"/>
          <w:szCs w:val="20"/>
          <w:lang w:val="en-US"/>
        </w:rPr>
        <w:t>Driscoll-Kraay estimator was selected using the lag length specification from Hoechle (2007). Computations are done with Stata 16, Source. Own elaboration (2021).</w:t>
      </w:r>
    </w:p>
    <w:p w:rsidR="00896CBD" w:rsidRPr="003D1BD6" w:rsidRDefault="00896CBD" w:rsidP="00896CBD">
      <w:pPr>
        <w:rPr>
          <w:rFonts w:ascii="Times New Roman" w:hAnsi="Times New Roman" w:cs="Times New Roman"/>
          <w:sz w:val="20"/>
          <w:szCs w:val="20"/>
          <w:lang w:val="en-US"/>
        </w:rPr>
      </w:pPr>
    </w:p>
    <w:p w:rsidR="00755780" w:rsidRDefault="00755780">
      <w:bookmarkStart w:id="0" w:name="_GoBack"/>
      <w:bookmarkEnd w:id="0"/>
    </w:p>
    <w:sectPr w:rsidR="0075578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C174D4"/>
    <w:multiLevelType w:val="multilevel"/>
    <w:tmpl w:val="54CC6FB2"/>
    <w:lvl w:ilvl="0">
      <w:start w:val="1"/>
      <w:numFmt w:val="bullet"/>
      <w:lvlText w:val=""/>
      <w:lvlJc w:val="left"/>
      <w:pPr>
        <w:tabs>
          <w:tab w:val="num" w:pos="382"/>
        </w:tabs>
        <w:ind w:left="38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434764"/>
    <w:multiLevelType w:val="multilevel"/>
    <w:tmpl w:val="F744B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CBD"/>
    <w:rsid w:val="00755780"/>
    <w:rsid w:val="00896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0B1722-53EA-45C1-8BD0-0D44EA6EF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6CBD"/>
    <w:rPr>
      <w:lang w:val="es-CO"/>
    </w:rPr>
  </w:style>
  <w:style w:type="paragraph" w:styleId="Heading1">
    <w:name w:val="heading 1"/>
    <w:basedOn w:val="Normal"/>
    <w:next w:val="Normal"/>
    <w:link w:val="Heading1Char"/>
    <w:uiPriority w:val="9"/>
    <w:qFormat/>
    <w:rsid w:val="00896CBD"/>
    <w:pPr>
      <w:keepNext/>
      <w:keepLines/>
      <w:spacing w:before="240" w:after="0"/>
      <w:outlineLvl w:val="0"/>
    </w:pPr>
    <w:rPr>
      <w:rFonts w:asciiTheme="majorHAnsi" w:eastAsiaTheme="majorEastAsia" w:hAnsiTheme="majorHAnsi" w:cstheme="majorBidi"/>
      <w:color w:val="2E74B5" w:themeColor="accent1" w:themeShade="BF"/>
      <w:sz w:val="32"/>
      <w:szCs w:val="32"/>
      <w:lang w:eastAsia="es-C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6CBD"/>
    <w:rPr>
      <w:rFonts w:asciiTheme="majorHAnsi" w:eastAsiaTheme="majorEastAsia" w:hAnsiTheme="majorHAnsi" w:cstheme="majorBidi"/>
      <w:color w:val="2E74B5" w:themeColor="accent1" w:themeShade="BF"/>
      <w:sz w:val="32"/>
      <w:szCs w:val="32"/>
      <w:lang w:val="es-CO" w:eastAsia="es-CO"/>
    </w:rPr>
  </w:style>
  <w:style w:type="paragraph" w:styleId="Bibliography">
    <w:name w:val="Bibliography"/>
    <w:basedOn w:val="Normal"/>
    <w:next w:val="Normal"/>
    <w:uiPriority w:val="37"/>
    <w:unhideWhenUsed/>
    <w:rsid w:val="00896CBD"/>
  </w:style>
  <w:style w:type="character" w:styleId="Hyperlink">
    <w:name w:val="Hyperlink"/>
    <w:basedOn w:val="DefaultParagraphFont"/>
    <w:uiPriority w:val="99"/>
    <w:unhideWhenUsed/>
    <w:rsid w:val="00896CBD"/>
    <w:rPr>
      <w:color w:val="0563C1" w:themeColor="hyperlink"/>
      <w:u w:val="single"/>
    </w:rPr>
  </w:style>
  <w:style w:type="character" w:customStyle="1" w:styleId="UnresolvedMention1">
    <w:name w:val="Unresolved Mention1"/>
    <w:basedOn w:val="DefaultParagraphFont"/>
    <w:uiPriority w:val="99"/>
    <w:semiHidden/>
    <w:unhideWhenUsed/>
    <w:rsid w:val="00896CBD"/>
    <w:rPr>
      <w:color w:val="605E5C"/>
      <w:shd w:val="clear" w:color="auto" w:fill="E1DFDD"/>
    </w:rPr>
  </w:style>
  <w:style w:type="character" w:styleId="PlaceholderText">
    <w:name w:val="Placeholder Text"/>
    <w:basedOn w:val="DefaultParagraphFont"/>
    <w:uiPriority w:val="99"/>
    <w:semiHidden/>
    <w:rsid w:val="00896CBD"/>
    <w:rPr>
      <w:color w:val="808080"/>
    </w:rPr>
  </w:style>
  <w:style w:type="table" w:styleId="TableGrid">
    <w:name w:val="Table Grid"/>
    <w:basedOn w:val="TableNormal"/>
    <w:uiPriority w:val="39"/>
    <w:rsid w:val="00896CBD"/>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rsid w:val="00896CBD"/>
    <w:rPr>
      <w:sz w:val="21"/>
      <w:szCs w:val="21"/>
    </w:rPr>
  </w:style>
  <w:style w:type="paragraph" w:styleId="CommentText">
    <w:name w:val="annotation text"/>
    <w:basedOn w:val="Normal"/>
    <w:link w:val="CommentTextChar"/>
    <w:uiPriority w:val="99"/>
    <w:rsid w:val="00896CBD"/>
    <w:pPr>
      <w:spacing w:after="0" w:line="260" w:lineRule="atLeast"/>
      <w:jc w:val="both"/>
    </w:pPr>
    <w:rPr>
      <w:rFonts w:ascii="Palatino Linotype" w:eastAsia="SimSun" w:hAnsi="Palatino Linotype" w:cs="Times New Roman"/>
      <w:noProof/>
      <w:color w:val="000000"/>
      <w:sz w:val="20"/>
      <w:szCs w:val="20"/>
      <w:lang w:val="en-US" w:eastAsia="zh-CN"/>
    </w:rPr>
  </w:style>
  <w:style w:type="character" w:customStyle="1" w:styleId="CommentTextChar">
    <w:name w:val="Comment Text Char"/>
    <w:basedOn w:val="DefaultParagraphFont"/>
    <w:link w:val="CommentText"/>
    <w:uiPriority w:val="99"/>
    <w:rsid w:val="00896CBD"/>
    <w:rPr>
      <w:rFonts w:ascii="Palatino Linotype" w:eastAsia="SimSun" w:hAnsi="Palatino Linotype" w:cs="Times New Roman"/>
      <w:noProof/>
      <w:color w:val="000000"/>
      <w:sz w:val="20"/>
      <w:szCs w:val="20"/>
      <w:lang w:eastAsia="zh-CN"/>
    </w:rPr>
  </w:style>
  <w:style w:type="paragraph" w:styleId="NoSpacing">
    <w:name w:val="No Spacing"/>
    <w:uiPriority w:val="1"/>
    <w:qFormat/>
    <w:rsid w:val="00896CBD"/>
    <w:pPr>
      <w:spacing w:after="0" w:line="240" w:lineRule="auto"/>
    </w:pPr>
  </w:style>
  <w:style w:type="paragraph" w:styleId="Header">
    <w:name w:val="header"/>
    <w:basedOn w:val="Normal"/>
    <w:link w:val="HeaderChar"/>
    <w:uiPriority w:val="99"/>
    <w:unhideWhenUsed/>
    <w:rsid w:val="00896CBD"/>
    <w:pPr>
      <w:tabs>
        <w:tab w:val="center" w:pos="4703"/>
        <w:tab w:val="right" w:pos="9406"/>
      </w:tabs>
      <w:spacing w:after="0" w:line="240" w:lineRule="auto"/>
    </w:pPr>
  </w:style>
  <w:style w:type="character" w:customStyle="1" w:styleId="HeaderChar">
    <w:name w:val="Header Char"/>
    <w:basedOn w:val="DefaultParagraphFont"/>
    <w:link w:val="Header"/>
    <w:uiPriority w:val="99"/>
    <w:rsid w:val="00896CBD"/>
    <w:rPr>
      <w:lang w:val="es-CO"/>
    </w:rPr>
  </w:style>
  <w:style w:type="paragraph" w:styleId="Footer">
    <w:name w:val="footer"/>
    <w:basedOn w:val="Normal"/>
    <w:link w:val="FooterChar"/>
    <w:uiPriority w:val="99"/>
    <w:unhideWhenUsed/>
    <w:rsid w:val="00896CBD"/>
    <w:pPr>
      <w:tabs>
        <w:tab w:val="center" w:pos="4703"/>
        <w:tab w:val="right" w:pos="9406"/>
      </w:tabs>
      <w:spacing w:after="0" w:line="240" w:lineRule="auto"/>
    </w:pPr>
  </w:style>
  <w:style w:type="character" w:customStyle="1" w:styleId="FooterChar">
    <w:name w:val="Footer Char"/>
    <w:basedOn w:val="DefaultParagraphFont"/>
    <w:link w:val="Footer"/>
    <w:uiPriority w:val="99"/>
    <w:rsid w:val="00896CBD"/>
    <w:rPr>
      <w:lang w:val="es-CO"/>
    </w:rPr>
  </w:style>
  <w:style w:type="character" w:styleId="Strong">
    <w:name w:val="Strong"/>
    <w:basedOn w:val="DefaultParagraphFont"/>
    <w:uiPriority w:val="22"/>
    <w:qFormat/>
    <w:rsid w:val="00896CBD"/>
    <w:rPr>
      <w:b/>
      <w:bCs/>
    </w:rPr>
  </w:style>
  <w:style w:type="character" w:customStyle="1" w:styleId="ff2">
    <w:name w:val="ff2"/>
    <w:basedOn w:val="DefaultParagraphFont"/>
    <w:rsid w:val="00896CBD"/>
  </w:style>
  <w:style w:type="character" w:styleId="Emphasis">
    <w:name w:val="Emphasis"/>
    <w:basedOn w:val="DefaultParagraphFont"/>
    <w:uiPriority w:val="20"/>
    <w:qFormat/>
    <w:rsid w:val="00896CBD"/>
    <w:rPr>
      <w:i/>
      <w:iCs/>
    </w:rPr>
  </w:style>
  <w:style w:type="character" w:customStyle="1" w:styleId="identifier">
    <w:name w:val="identifier"/>
    <w:basedOn w:val="DefaultParagraphFont"/>
    <w:rsid w:val="00896CBD"/>
  </w:style>
  <w:style w:type="character" w:customStyle="1" w:styleId="title-text">
    <w:name w:val="title-text"/>
    <w:basedOn w:val="DefaultParagraphFont"/>
    <w:rsid w:val="00896CBD"/>
  </w:style>
  <w:style w:type="paragraph" w:styleId="BalloonText">
    <w:name w:val="Balloon Text"/>
    <w:basedOn w:val="Normal"/>
    <w:link w:val="BalloonTextChar"/>
    <w:uiPriority w:val="99"/>
    <w:semiHidden/>
    <w:unhideWhenUsed/>
    <w:rsid w:val="00896C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6CBD"/>
    <w:rPr>
      <w:rFonts w:ascii="Segoe UI" w:hAnsi="Segoe UI" w:cs="Segoe UI"/>
      <w:sz w:val="18"/>
      <w:szCs w:val="18"/>
      <w:lang w:val="es-CO"/>
    </w:rPr>
  </w:style>
  <w:style w:type="character" w:styleId="FollowedHyperlink">
    <w:name w:val="FollowedHyperlink"/>
    <w:basedOn w:val="DefaultParagraphFont"/>
    <w:uiPriority w:val="99"/>
    <w:semiHidden/>
    <w:unhideWhenUsed/>
    <w:rsid w:val="00896CBD"/>
    <w:rPr>
      <w:color w:val="954F72" w:themeColor="followedHyperlink"/>
      <w:u w:val="single"/>
    </w:rPr>
  </w:style>
  <w:style w:type="character" w:customStyle="1" w:styleId="UnresolvedMention">
    <w:name w:val="Unresolved Mention"/>
    <w:basedOn w:val="DefaultParagraphFont"/>
    <w:uiPriority w:val="99"/>
    <w:semiHidden/>
    <w:unhideWhenUsed/>
    <w:rsid w:val="00896C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red.stlouisfed.org/series/DEULORSGPNOSTSAM" TargetMode="External"/><Relationship Id="rId18" Type="http://schemas.openxmlformats.org/officeDocument/2006/relationships/hyperlink" Target="https://unemploymentinindia.cmie.com/" TargetMode="External"/><Relationship Id="rId26" Type="http://schemas.openxmlformats.org/officeDocument/2006/relationships/hyperlink" Target="https://fred.stlouisfed.org/series/ITACPIALLMINMEI" TargetMode="External"/><Relationship Id="rId3" Type="http://schemas.openxmlformats.org/officeDocument/2006/relationships/settings" Target="settings.xml"/><Relationship Id="rId21" Type="http://schemas.openxmlformats.org/officeDocument/2006/relationships/hyperlink" Target="https://fred.stlouisfed.org/series/LRHUTTTTGBM156S" TargetMode="External"/><Relationship Id="rId34" Type="http://schemas.openxmlformats.org/officeDocument/2006/relationships/fontTable" Target="fontTable.xml"/><Relationship Id="rId7" Type="http://schemas.openxmlformats.org/officeDocument/2006/relationships/hyperlink" Target="https://fred.stlouisfed.org/series/POPTHM" TargetMode="External"/><Relationship Id="rId12" Type="http://schemas.openxmlformats.org/officeDocument/2006/relationships/hyperlink" Target="https://fred.stlouisfed.org/series/LFAC64TTJPM647S" TargetMode="External"/><Relationship Id="rId17" Type="http://schemas.openxmlformats.org/officeDocument/2006/relationships/hyperlink" Target="https://fred.stlouisfed.org/series/INDCPIALLMINMEI" TargetMode="External"/><Relationship Id="rId25" Type="http://schemas.openxmlformats.org/officeDocument/2006/relationships/hyperlink" Target="https://fred.stlouisfed.org/series/ITALORSGPNOSTSAM" TargetMode="External"/><Relationship Id="rId33" Type="http://schemas.openxmlformats.org/officeDocument/2006/relationships/hyperlink" Target="https://fred.stlouisfed.org/series/LRHUTTTTCAM156S" TargetMode="External"/><Relationship Id="rId2" Type="http://schemas.openxmlformats.org/officeDocument/2006/relationships/styles" Target="styles.xml"/><Relationship Id="rId16" Type="http://schemas.openxmlformats.org/officeDocument/2006/relationships/hyperlink" Target="https://fred.stlouisfed.org/series/INDLORSGPNOSTSAM" TargetMode="External"/><Relationship Id="rId20" Type="http://schemas.openxmlformats.org/officeDocument/2006/relationships/hyperlink" Target="https://fred.stlouisfed.org/series/GBRCPIALLMINMEI" TargetMode="External"/><Relationship Id="rId29" Type="http://schemas.openxmlformats.org/officeDocument/2006/relationships/hyperlink" Target="https://fred.stlouisfed.org/series/BRACPIALLMINMEI" TargetMode="External"/><Relationship Id="rId1" Type="http://schemas.openxmlformats.org/officeDocument/2006/relationships/numbering" Target="numbering.xml"/><Relationship Id="rId6" Type="http://schemas.openxmlformats.org/officeDocument/2006/relationships/hyperlink" Target="https://fred.stlouisfed.org/series/M0892AUSM156SNBR" TargetMode="External"/><Relationship Id="rId11" Type="http://schemas.openxmlformats.org/officeDocument/2006/relationships/hyperlink" Target="https://fred.stlouisfed.org/series/LRHUTTTTJPM156S" TargetMode="External"/><Relationship Id="rId24" Type="http://schemas.openxmlformats.org/officeDocument/2006/relationships/hyperlink" Target="https://fred.stlouisfed.org/series/LRHUTTTTFRM156S" TargetMode="External"/><Relationship Id="rId32" Type="http://schemas.openxmlformats.org/officeDocument/2006/relationships/hyperlink" Target="https://fred.stlouisfed.org/series/CPALCY01CAM661N" TargetMode="External"/><Relationship Id="rId5" Type="http://schemas.openxmlformats.org/officeDocument/2006/relationships/hyperlink" Target="https://fred.stlouisfed.org/series/CPIAUCSL" TargetMode="External"/><Relationship Id="rId15" Type="http://schemas.openxmlformats.org/officeDocument/2006/relationships/hyperlink" Target="https://fred.stlouisfed.org/series/LRHUTTTTDEM156S" TargetMode="External"/><Relationship Id="rId23" Type="http://schemas.openxmlformats.org/officeDocument/2006/relationships/hyperlink" Target="https://fred.stlouisfed.org/series/FRACPIALLMINMEI" TargetMode="External"/><Relationship Id="rId28" Type="http://schemas.openxmlformats.org/officeDocument/2006/relationships/hyperlink" Target="https://fred.stlouisfed.org/series/BRALORSGPNOSTSAM" TargetMode="External"/><Relationship Id="rId10" Type="http://schemas.openxmlformats.org/officeDocument/2006/relationships/hyperlink" Target="https://fred.stlouisfed.org/series/JPNLORSGPNOSTSAM" TargetMode="External"/><Relationship Id="rId19" Type="http://schemas.openxmlformats.org/officeDocument/2006/relationships/hyperlink" Target="https://fred.stlouisfed.org/series/GBRLORSGPNOSTSAM" TargetMode="External"/><Relationship Id="rId31" Type="http://schemas.openxmlformats.org/officeDocument/2006/relationships/hyperlink" Target="https://fred.stlouisfed.org/series/CANLORSGPNOSTSAM" TargetMode="External"/><Relationship Id="rId4" Type="http://schemas.openxmlformats.org/officeDocument/2006/relationships/webSettings" Target="webSettings.xml"/><Relationship Id="rId9" Type="http://schemas.openxmlformats.org/officeDocument/2006/relationships/hyperlink" Target="https://fred.stlouisfed.org/searchresults/?st=China%20unemployment" TargetMode="External"/><Relationship Id="rId14" Type="http://schemas.openxmlformats.org/officeDocument/2006/relationships/hyperlink" Target="https://fred.stlouisfed.org/series/DEUCPIALLMINMEI" TargetMode="External"/><Relationship Id="rId22" Type="http://schemas.openxmlformats.org/officeDocument/2006/relationships/hyperlink" Target="https://fred.stlouisfed.org/series/FRALORSGPNOSTSAM" TargetMode="External"/><Relationship Id="rId27" Type="http://schemas.openxmlformats.org/officeDocument/2006/relationships/hyperlink" Target="https://fred.stlouisfed.org/series/LRHUTTTTITM156S" TargetMode="External"/><Relationship Id="rId30" Type="http://schemas.openxmlformats.org/officeDocument/2006/relationships/hyperlink" Target="https://www.investing.com/economic-calendar/brazilian-unemployment-rate-411" TargetMode="External"/><Relationship Id="rId35" Type="http://schemas.openxmlformats.org/officeDocument/2006/relationships/theme" Target="theme/theme1.xml"/><Relationship Id="rId8" Type="http://schemas.openxmlformats.org/officeDocument/2006/relationships/hyperlink" Target="https://fred.stlouisfed.org/series/CHNLORSGPNOSTS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1785</Words>
  <Characters>10180</Characters>
  <Application>Microsoft Office Word</Application>
  <DocSecurity>0</DocSecurity>
  <Lines>84</Lines>
  <Paragraphs>23</Paragraphs>
  <ScaleCrop>false</ScaleCrop>
  <Company>Springer Nature IT</Company>
  <LinksUpToDate>false</LinksUpToDate>
  <CharactersWithSpaces>11942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2022-02-15T11:13:00Z</dcterms:created>
  <dcterms:modified xsi:type="dcterms:W3CDTF">2022-02-15T11:13:00Z</dcterms:modified>
</cp:coreProperties>
</file>