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0988A" w14:textId="77777777" w:rsidR="005173BB" w:rsidRDefault="005173BB" w:rsidP="005173BB">
      <w:pPr>
        <w:spacing w:after="240" w:line="480" w:lineRule="auto"/>
        <w:jc w:val="both"/>
        <w:rPr>
          <w:sz w:val="24"/>
          <w:szCs w:val="24"/>
          <w:lang w:val="en-US" w:eastAsia="es-ES"/>
        </w:rPr>
      </w:pPr>
      <w:r>
        <w:rPr>
          <w:b/>
          <w:bCs/>
          <w:sz w:val="24"/>
          <w:szCs w:val="24"/>
          <w:lang w:val="en-US"/>
        </w:rPr>
        <w:t>Supplementary methods.</w:t>
      </w:r>
      <w:r>
        <w:rPr>
          <w:sz w:val="24"/>
          <w:szCs w:val="24"/>
          <w:lang w:val="en-US"/>
        </w:rPr>
        <w:t xml:space="preserve"> The healthy eating index 2015 (HEI-2015) and the adapted dietary inflammatory index (ADII)</w:t>
      </w:r>
    </w:p>
    <w:p w14:paraId="4318DB3F" w14:textId="77777777" w:rsidR="005173BB" w:rsidRDefault="005173BB" w:rsidP="005173BB">
      <w:pPr>
        <w:jc w:val="both"/>
        <w:rPr>
          <w:sz w:val="24"/>
          <w:szCs w:val="24"/>
          <w:lang w:val="en-US"/>
        </w:rPr>
      </w:pPr>
    </w:p>
    <w:p w14:paraId="2B9FD60E" w14:textId="77777777" w:rsidR="005173BB" w:rsidRDefault="005173BB" w:rsidP="005173BB">
      <w:pPr>
        <w:spacing w:line="480" w:lineRule="auto"/>
        <w:jc w:val="both"/>
        <w:rPr>
          <w:sz w:val="24"/>
          <w:szCs w:val="24"/>
          <w:lang w:val="en-US"/>
        </w:rPr>
      </w:pPr>
      <w:r>
        <w:rPr>
          <w:sz w:val="24"/>
          <w:szCs w:val="24"/>
          <w:lang w:val="en-US"/>
        </w:rPr>
        <w:t>The Adapted Dietary Inflammatory Index (ADII) was constructed to measure the inflammatory potential of the diet.</w:t>
      </w:r>
      <w:r>
        <w:rPr>
          <w:sz w:val="24"/>
          <w:szCs w:val="24"/>
          <w:lang w:val="en-US"/>
        </w:rPr>
        <w:fldChar w:fldCharType="begin">
          <w:fldData xml:space="preserve">PEVuZE5vdGU+PENpdGU+PEF1dGhvcj5MYW91YWxpPC9BdXRob3I+PFllYXI+MjAxOTwvWWVhcj48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</w:fldData>
        </w:fldChar>
      </w:r>
      <w:r>
        <w:rPr>
          <w:sz w:val="24"/>
          <w:szCs w:val="24"/>
          <w:lang w:val="en-US"/>
        </w:rPr>
        <w:instrText xml:space="preserve"> ADDIN EN.CITE </w:instrText>
      </w:r>
      <w:r>
        <w:rPr>
          <w:sz w:val="24"/>
          <w:szCs w:val="24"/>
          <w:lang w:val="en-US"/>
        </w:rPr>
        <w:fldChar w:fldCharType="begin">
          <w:fldData xml:space="preserve">PEVuZE5vdGU+PENpdGU+PEF1dGhvcj5MYW91YWxpPC9BdXRob3I+PFllYXI+MjAxOTwvWWVhcj48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</w:fldData>
        </w:fldChar>
      </w:r>
      <w:r>
        <w:rPr>
          <w:sz w:val="24"/>
          <w:szCs w:val="24"/>
          <w:lang w:val="en-US"/>
        </w:rPr>
        <w:instrText xml:space="preserve"> ADDIN EN.CITE.DATA </w:instrText>
      </w:r>
      <w:r>
        <w:rPr>
          <w:sz w:val="24"/>
          <w:szCs w:val="24"/>
          <w:lang w:val="en-US"/>
        </w:rPr>
      </w:r>
      <w:r>
        <w:rPr>
          <w:sz w:val="24"/>
          <w:szCs w:val="24"/>
          <w:lang w:val="en-US"/>
        </w:rPr>
        <w:fldChar w:fldCharType="end"/>
      </w:r>
      <w:r>
        <w:rPr>
          <w:sz w:val="24"/>
          <w:szCs w:val="24"/>
          <w:lang w:val="en-US"/>
        </w:rPr>
      </w:r>
      <w:r>
        <w:rPr>
          <w:sz w:val="24"/>
          <w:szCs w:val="24"/>
          <w:lang w:val="en-US"/>
        </w:rPr>
        <w:fldChar w:fldCharType="separate"/>
      </w:r>
      <w:r>
        <w:rPr>
          <w:noProof/>
          <w:sz w:val="24"/>
          <w:szCs w:val="24"/>
          <w:lang w:val="en-US"/>
        </w:rPr>
        <w:t>(23)</w:t>
      </w:r>
      <w:r>
        <w:rPr>
          <w:sz w:val="24"/>
          <w:szCs w:val="24"/>
          <w:lang w:val="en-US"/>
        </w:rPr>
        <w:fldChar w:fldCharType="end"/>
      </w:r>
      <w:r>
        <w:rPr>
          <w:sz w:val="24"/>
          <w:szCs w:val="24"/>
          <w:lang w:val="en-US"/>
        </w:rPr>
        <w:t xml:space="preserve"> Briefly, the ADII index proposed by </w:t>
      </w:r>
      <w:proofErr w:type="spellStart"/>
      <w:r>
        <w:rPr>
          <w:sz w:val="24"/>
          <w:szCs w:val="24"/>
          <w:lang w:val="en-US"/>
        </w:rPr>
        <w:t>Woudenberg</w:t>
      </w:r>
      <w:proofErr w:type="spellEnd"/>
      <w:r>
        <w:rPr>
          <w:sz w:val="24"/>
          <w:szCs w:val="24"/>
          <w:lang w:val="en-US"/>
        </w:rPr>
        <w:t xml:space="preserve"> et al </w:t>
      </w:r>
      <w:r>
        <w:rPr>
          <w:sz w:val="24"/>
          <w:szCs w:val="24"/>
          <w:lang w:val="en-US"/>
        </w:rPr>
        <w:fldChar w:fldCharType="begin">
          <w:fldData xml:space="preserve">PEVuZE5vdGU+PENpdGU+PEF1dGhvcj52YW4gV291ZGVuYmVyZ2g8L0F1dGhvcj48WWVhcj4yMDEz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</w:fldData>
        </w:fldChar>
      </w:r>
      <w:r>
        <w:rPr>
          <w:sz w:val="24"/>
          <w:szCs w:val="24"/>
          <w:lang w:val="en-US"/>
        </w:rPr>
        <w:instrText xml:space="preserve"> ADDIN EN.CITE </w:instrText>
      </w:r>
      <w:r>
        <w:rPr>
          <w:sz w:val="24"/>
          <w:szCs w:val="24"/>
          <w:lang w:val="en-US"/>
        </w:rPr>
        <w:fldChar w:fldCharType="begin">
          <w:fldData xml:space="preserve">PEVuZE5vdGU+PENpdGU+PEF1dGhvcj52YW4gV291ZGVuYmVyZ2g8L0F1dGhvcj48WWVhcj4yMDEz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</w:fldData>
        </w:fldChar>
      </w:r>
      <w:r>
        <w:rPr>
          <w:sz w:val="24"/>
          <w:szCs w:val="24"/>
          <w:lang w:val="en-US"/>
        </w:rPr>
        <w:instrText xml:space="preserve"> ADDIN EN.CITE.DATA </w:instrText>
      </w:r>
      <w:r>
        <w:rPr>
          <w:sz w:val="24"/>
          <w:szCs w:val="24"/>
          <w:lang w:val="en-US"/>
        </w:rPr>
      </w:r>
      <w:r>
        <w:rPr>
          <w:sz w:val="24"/>
          <w:szCs w:val="24"/>
          <w:lang w:val="en-US"/>
        </w:rPr>
        <w:fldChar w:fldCharType="end"/>
      </w:r>
      <w:r>
        <w:rPr>
          <w:sz w:val="24"/>
          <w:szCs w:val="24"/>
          <w:lang w:val="en-US"/>
        </w:rPr>
      </w:r>
      <w:r>
        <w:rPr>
          <w:sz w:val="24"/>
          <w:szCs w:val="24"/>
          <w:lang w:val="en-US"/>
        </w:rPr>
        <w:fldChar w:fldCharType="separate"/>
      </w:r>
      <w:r>
        <w:rPr>
          <w:noProof/>
          <w:sz w:val="24"/>
          <w:szCs w:val="24"/>
          <w:lang w:val="en-US"/>
        </w:rPr>
        <w:t>(61)</w:t>
      </w:r>
      <w:r>
        <w:rPr>
          <w:sz w:val="24"/>
          <w:szCs w:val="24"/>
          <w:lang w:val="en-US"/>
        </w:rPr>
        <w:fldChar w:fldCharType="end"/>
      </w:r>
      <w:r>
        <w:rPr>
          <w:sz w:val="24"/>
          <w:szCs w:val="24"/>
          <w:lang w:val="en-US"/>
        </w:rPr>
        <w:t xml:space="preserve"> was used in combination with the updated dietary components inflammatory weights designed by </w:t>
      </w:r>
      <w:proofErr w:type="spellStart"/>
      <w:r>
        <w:rPr>
          <w:sz w:val="24"/>
          <w:szCs w:val="24"/>
          <w:lang w:val="en-US"/>
        </w:rPr>
        <w:t>Shivappa</w:t>
      </w:r>
      <w:proofErr w:type="spellEnd"/>
      <w:r>
        <w:rPr>
          <w:sz w:val="24"/>
          <w:szCs w:val="24"/>
          <w:lang w:val="en-US"/>
        </w:rPr>
        <w:t xml:space="preserve"> et al </w:t>
      </w:r>
      <w:r>
        <w:rPr>
          <w:sz w:val="24"/>
          <w:szCs w:val="24"/>
          <w:lang w:val="en-US"/>
        </w:rPr>
        <w:fldChar w:fldCharType="begin"/>
      </w:r>
      <w:r>
        <w:rPr>
          <w:sz w:val="24"/>
          <w:szCs w:val="24"/>
          <w:lang w:val="en-US"/>
        </w:rPr>
        <w:instrText xml:space="preserve"> ADDIN EN.CITE &lt;EndNote&gt;&lt;Cite&gt;&lt;Author&gt;Shivappa&lt;/Author&gt;&lt;Year&gt;2014&lt;/Year&gt;&lt;RecNum&gt;3&lt;/RecNum&gt;&lt;DisplayText&gt;(62)&lt;/DisplayText&gt;&lt;record&gt;&lt;rec-number&gt;3&lt;/rec-number&gt;&lt;foreign-keys&gt;&lt;key app="EN" db-id="p9dd52rt7e2v93eapezxwde7rtwfwtaxwxpv" timestamp="1635767244"&gt;3&lt;/key&gt;&lt;/foreign-keys&gt;&lt;ref-type name="Journal Article"&gt;17&lt;/ref-type&gt;&lt;contributors&gt;&lt;authors&gt;&lt;author&gt;Shivappa, N.&lt;/author&gt;&lt;author&gt;Steck, S. E.&lt;/author&gt;&lt;author&gt;Hurley, T. G.&lt;/author&gt;&lt;author&gt;Hussey, J. R.&lt;/author&gt;&lt;author&gt;Hebert, J. R.&lt;/author&gt;&lt;/authors&gt;&lt;/contributors&gt;&lt;auth-address&gt;1Cancer Prevention and Control Program,University of South Carolina,915 Greene Street,Suite 241,Columbia,SC 29208,USA.&amp;#xD;2Department of Epidemiology and Biostatistics,Arnold School of Public Health,University of South Carolina,Columbia,SC,USA.&lt;/auth-address&gt;&lt;titles&gt;&lt;title&gt;Designing and developing a literature-derived, population-based dietary inflammatory index&lt;/title&gt;&lt;secondary-title&gt;Public Health Nutr&lt;/secondary-title&gt;&lt;/titles&gt;&lt;periodical&gt;&lt;full-title&gt;Public Health Nutr&lt;/full-title&gt;&lt;/periodical&gt;&lt;pages&gt;1689-96&lt;/pages&gt;&lt;volume&gt;17&lt;/volume&gt;&lt;number&gt;8&lt;/number&gt;&lt;edition&gt;2013/08/15&lt;/edition&gt;&lt;keywords&gt;&lt;keyword&gt;Algorithms&lt;/keyword&gt;&lt;keyword&gt;Biomarkers/blood&lt;/keyword&gt;&lt;keyword&gt;C-Reactive Protein/*metabolism&lt;/keyword&gt;&lt;keyword&gt;Diet/*adverse effects&lt;/keyword&gt;&lt;keyword&gt;Feeding Behavior&lt;/keyword&gt;&lt;keyword&gt;Humans&lt;/keyword&gt;&lt;keyword&gt;Inflammation/blood/*etiology&lt;/keyword&gt;&lt;keyword&gt;Inflammation Mediators/*blood&lt;/keyword&gt;&lt;keyword&gt;Interleukins/*blood&lt;/keyword&gt;&lt;keyword&gt;Nutrition Assessment&lt;/keyword&gt;&lt;keyword&gt;*Nutritional Status&lt;/keyword&gt;&lt;keyword&gt;Tumor Necrosis Factor-alpha/*blood&lt;/keyword&gt;&lt;/keywords&gt;&lt;dates&gt;&lt;year&gt;2014&lt;/year&gt;&lt;pub-dates&gt;&lt;date&gt;Aug&lt;/date&gt;&lt;/pub-dates&gt;&lt;/dates&gt;&lt;isbn&gt;1475-2727 (Electronic)&amp;#xD;1368-9800 (Linking)&lt;/isbn&gt;&lt;accession-num&gt;23941862&lt;/accession-num&gt;&lt;urls&gt;&lt;related-urls&gt;&lt;url&gt;https://www.ncbi.nlm.nih.gov/pubmed/23941862&lt;/url&gt;&lt;/related-urls&gt;&lt;/urls&gt;&lt;custom2&gt;PMC3925198&lt;/custom2&gt;&lt;electronic-resource-num&gt;10.1017/S1368980013002115&lt;/electronic-resource-num&gt;&lt;/record&gt;&lt;/Cite&gt;&lt;/EndNote&gt;</w:instrText>
      </w:r>
      <w:r>
        <w:rPr>
          <w:sz w:val="24"/>
          <w:szCs w:val="24"/>
          <w:lang w:val="en-US"/>
        </w:rPr>
        <w:fldChar w:fldCharType="separate"/>
      </w:r>
      <w:r>
        <w:rPr>
          <w:noProof/>
          <w:sz w:val="24"/>
          <w:szCs w:val="24"/>
          <w:lang w:val="en-US"/>
        </w:rPr>
        <w:t>(62)</w:t>
      </w:r>
      <w:r>
        <w:rPr>
          <w:sz w:val="24"/>
          <w:szCs w:val="24"/>
          <w:lang w:val="en-US"/>
        </w:rPr>
        <w:fldChar w:fldCharType="end"/>
      </w:r>
      <w:r>
        <w:rPr>
          <w:sz w:val="24"/>
          <w:szCs w:val="24"/>
          <w:lang w:val="en-US"/>
        </w:rPr>
        <w:t xml:space="preserve"> instead of the weights proposed by </w:t>
      </w:r>
      <w:proofErr w:type="spellStart"/>
      <w:r>
        <w:rPr>
          <w:sz w:val="24"/>
          <w:szCs w:val="24"/>
          <w:lang w:val="en-US"/>
        </w:rPr>
        <w:t>Cavicchia</w:t>
      </w:r>
      <w:proofErr w:type="spellEnd"/>
      <w:r>
        <w:rPr>
          <w:sz w:val="24"/>
          <w:szCs w:val="24"/>
          <w:lang w:val="en-US"/>
        </w:rPr>
        <w:t xml:space="preserve"> et al.</w:t>
      </w:r>
      <w:r>
        <w:rPr>
          <w:sz w:val="24"/>
          <w:szCs w:val="24"/>
          <w:lang w:val="en-US"/>
        </w:rPr>
        <w:fldChar w:fldCharType="begin">
          <w:fldData xml:space="preserve">PEVuZE5vdGU+PENpdGU+PEF1dGhvcj5DYXZpY2NoaWE8L0F1dGhvcj48WWVhcj4yMDA5PC9ZZWFy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</w:fldData>
        </w:fldChar>
      </w:r>
      <w:r>
        <w:rPr>
          <w:sz w:val="24"/>
          <w:szCs w:val="24"/>
          <w:lang w:val="en-US"/>
        </w:rPr>
        <w:instrText xml:space="preserve"> ADDIN EN.CITE </w:instrText>
      </w:r>
      <w:r>
        <w:rPr>
          <w:sz w:val="24"/>
          <w:szCs w:val="24"/>
          <w:lang w:val="en-US"/>
        </w:rPr>
        <w:fldChar w:fldCharType="begin">
          <w:fldData xml:space="preserve">PEVuZE5vdGU+PENpdGU+PEF1dGhvcj5DYXZpY2NoaWE8L0F1dGhvcj48WWVhcj4yMDA5PC9ZZWFy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</w:fldData>
        </w:fldChar>
      </w:r>
      <w:r>
        <w:rPr>
          <w:sz w:val="24"/>
          <w:szCs w:val="24"/>
          <w:lang w:val="en-US"/>
        </w:rPr>
        <w:instrText xml:space="preserve"> ADDIN EN.CITE.DATA </w:instrText>
      </w:r>
      <w:r>
        <w:rPr>
          <w:sz w:val="24"/>
          <w:szCs w:val="24"/>
          <w:lang w:val="en-US"/>
        </w:rPr>
      </w:r>
      <w:r>
        <w:rPr>
          <w:sz w:val="24"/>
          <w:szCs w:val="24"/>
          <w:lang w:val="en-US"/>
        </w:rPr>
        <w:fldChar w:fldCharType="end"/>
      </w:r>
      <w:r>
        <w:rPr>
          <w:sz w:val="24"/>
          <w:szCs w:val="24"/>
          <w:lang w:val="en-US"/>
        </w:rPr>
      </w:r>
      <w:r>
        <w:rPr>
          <w:sz w:val="24"/>
          <w:szCs w:val="24"/>
          <w:lang w:val="en-US"/>
        </w:rPr>
        <w:fldChar w:fldCharType="separate"/>
      </w:r>
      <w:r>
        <w:rPr>
          <w:noProof/>
          <w:sz w:val="24"/>
          <w:szCs w:val="24"/>
          <w:lang w:val="en-US"/>
        </w:rPr>
        <w:t>(63)</w:t>
      </w:r>
      <w:r>
        <w:rPr>
          <w:sz w:val="24"/>
          <w:szCs w:val="24"/>
          <w:lang w:val="en-US"/>
        </w:rPr>
        <w:fldChar w:fldCharType="end"/>
      </w:r>
      <w:r>
        <w:rPr>
          <w:sz w:val="24"/>
          <w:szCs w:val="24"/>
          <w:lang w:val="en-US"/>
        </w:rPr>
        <w:t xml:space="preserve"> These updated inflammatory weights, based on 3 additional years of published data (2008–2010, inclusive), resulted in a doubling of the total number of articles scored. The ADII was based on a nutritional rationale: first, the inflammatory weights of dietary components are multiplied by the standardized energy adjusted intake,</w:t>
      </w:r>
      <w:r>
        <w:rPr>
          <w:sz w:val="24"/>
          <w:szCs w:val="24"/>
          <w:lang w:val="en-US"/>
        </w:rPr>
        <w:fldChar w:fldCharType="begin"/>
      </w:r>
      <w:r>
        <w:rPr>
          <w:sz w:val="24"/>
          <w:szCs w:val="24"/>
          <w:lang w:val="en-US"/>
        </w:rPr>
        <w:instrText xml:space="preserve"> ADDIN EN.CITE &lt;EndNote&gt;&lt;Cite&gt;&lt;Author&gt;Willett&lt;/Author&gt;&lt;Year&gt;1997&lt;/Year&gt;&lt;RecNum&gt;5&lt;/RecNum&gt;&lt;DisplayText&gt;(64)&lt;/DisplayText&gt;&lt;record&gt;&lt;rec-number&gt;5&lt;/rec-number&gt;&lt;foreign-keys&gt;&lt;key app="EN" db-id="p9dd52rt7e2v93eapezxwde7rtwfwtaxwxpv" timestamp="1635767406"&gt;5&lt;/key&gt;&lt;/foreign-keys&gt;&lt;ref-type name="Journal Article"&gt;17&lt;/ref-type&gt;&lt;contributors&gt;&lt;authors&gt;&lt;author&gt;Willett, W. C.&lt;/author&gt;&lt;author&gt;Howe, G. R.&lt;/author&gt;&lt;author&gt;Kushi, L. H.&lt;/author&gt;&lt;/authors&gt;&lt;/contributors&gt;&lt;auth-address&gt;Department of Nutrition and Epidemiology, Harvard School of Public Health, Boston, MA 02115, USA.&lt;/auth-address&gt;&lt;titles&gt;&lt;title&gt;Adjustment for total energy intake in epidemiologic studies&lt;/title&gt;&lt;secondary-title&gt;Am J Clin Nutr&lt;/secondary-title&gt;&lt;/titles&gt;&lt;periodical&gt;&lt;full-title&gt;Am J Clin Nutr&lt;/full-title&gt;&lt;/periodical&gt;&lt;pages&gt;1220S-1228S; discussion 1229S-1231S&lt;/pages&gt;&lt;volume&gt;65&lt;/volume&gt;&lt;number&gt;4 Suppl&lt;/number&gt;&lt;edition&gt;1997/04/01&lt;/edition&gt;&lt;keywords&gt;&lt;keyword&gt;Coronary Disease/epidemiology&lt;/keyword&gt;&lt;keyword&gt;Diet&lt;/keyword&gt;&lt;keyword&gt;*Energy Intake&lt;/keyword&gt;&lt;keyword&gt;*Epidemiology&lt;/keyword&gt;&lt;keyword&gt;Humans&lt;/keyword&gt;&lt;keyword&gt;Models, Statistical&lt;/keyword&gt;&lt;keyword&gt;*Nutritional Physiological Phenomena&lt;/keyword&gt;&lt;/keywords&gt;&lt;dates&gt;&lt;year&gt;1997&lt;/year&gt;&lt;pub-dates&gt;&lt;date&gt;Apr&lt;/date&gt;&lt;/pub-dates&gt;&lt;/dates&gt;&lt;isbn&gt;0002-9165 (Print)&amp;#xD;0002-9165 (Linking)&lt;/isbn&gt;&lt;accession-num&gt;9094926&lt;/accession-num&gt;&lt;urls&gt;&lt;related-urls&gt;&lt;url&gt;https://www.ncbi.nlm.nih.gov/pubmed/9094926&lt;/url&gt;&lt;/related-urls&gt;&lt;/urls&gt;&lt;electronic-resource-num&gt;10.1093/ajcn/65.4.1220S&lt;/electronic-resource-num&gt;&lt;/record&gt;&lt;/Cite&gt;&lt;/EndNote&gt;</w:instrText>
      </w:r>
      <w:r>
        <w:rPr>
          <w:sz w:val="24"/>
          <w:szCs w:val="24"/>
          <w:lang w:val="en-US"/>
        </w:rPr>
        <w:fldChar w:fldCharType="separate"/>
      </w:r>
      <w:r>
        <w:rPr>
          <w:noProof/>
          <w:sz w:val="24"/>
          <w:szCs w:val="24"/>
          <w:lang w:val="en-US"/>
        </w:rPr>
        <w:t>(64)</w:t>
      </w:r>
      <w:r>
        <w:rPr>
          <w:sz w:val="24"/>
          <w:szCs w:val="24"/>
          <w:lang w:val="en-US"/>
        </w:rPr>
        <w:fldChar w:fldCharType="end"/>
      </w:r>
      <w:r>
        <w:rPr>
          <w:sz w:val="24"/>
          <w:szCs w:val="24"/>
          <w:lang w:val="en-US"/>
        </w:rPr>
        <w:t xml:space="preserve"> which acts to reduce between-person variation; second, the intakes of all components are standardized; third, the ADII calculation did not include alcoholic beverages such as beer, wine, and liquor, total fat, and energy, to avoid overestimation of the inflammatory effects of ethanol, fat and energy. A total of 24 of the 35 possible dietary components were used for the ADII calculation (carbohydrates, proteins, alcohol, fibers, cholesterol, saturated fatty acids, monounsaturated fatty acids, omega 3, omega 6, niacin, thiamin, riboflavin, vitamin B6, vitamin B12, iron, magnesium, zinc, vitamin A, vitamin C, vitamin D, vitamin E, folic acid, beta carotene, and caffeine). A positive ADII score indicates an anti-inflammatory diet and negative values correspond to a pro-inflammatory diet. </w:t>
      </w:r>
    </w:p>
    <w:p w14:paraId="2DE3AC95" w14:textId="77777777" w:rsidR="005173BB" w:rsidRDefault="005173BB" w:rsidP="005173BB">
      <w:pPr>
        <w:spacing w:line="480" w:lineRule="auto"/>
        <w:jc w:val="both"/>
        <w:rPr>
          <w:sz w:val="24"/>
          <w:szCs w:val="24"/>
          <w:lang w:val="en-US"/>
        </w:rPr>
      </w:pPr>
      <w:r>
        <w:rPr>
          <w:sz w:val="24"/>
          <w:szCs w:val="24"/>
          <w:lang w:val="en-US"/>
        </w:rPr>
        <w:t>The Healthy Eating Index 2015 (HEI-2015) was developed to measure overall diet quality.</w:t>
      </w:r>
      <w:r>
        <w:rPr>
          <w:sz w:val="24"/>
          <w:szCs w:val="24"/>
          <w:lang w:val="en-US"/>
        </w:rPr>
        <w:fldChar w:fldCharType="begin">
          <w:fldData xml:space="preserve">PEVuZE5vdGU+PENpdGU+PEF1dGhvcj5LcmVicy1TbWl0aDwvQXV0aG9yPjxZZWFyPjIwMTg8L1ll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</w:fldData>
        </w:fldChar>
      </w:r>
      <w:r>
        <w:rPr>
          <w:sz w:val="24"/>
          <w:szCs w:val="24"/>
          <w:lang w:val="en-US"/>
        </w:rPr>
        <w:instrText xml:space="preserve"> ADDIN EN.CITE </w:instrText>
      </w:r>
      <w:r>
        <w:rPr>
          <w:sz w:val="24"/>
          <w:szCs w:val="24"/>
          <w:lang w:val="en-US"/>
        </w:rPr>
        <w:fldChar w:fldCharType="begin">
          <w:fldData xml:space="preserve">PEVuZE5vdGU+PENpdGU+PEF1dGhvcj5LcmVicy1TbWl0aDwvQXV0aG9yPjxZZWFyPjIwMTg8L1ll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</w:fldData>
        </w:fldChar>
      </w:r>
      <w:r>
        <w:rPr>
          <w:sz w:val="24"/>
          <w:szCs w:val="24"/>
          <w:lang w:val="en-US"/>
        </w:rPr>
        <w:instrText xml:space="preserve"> ADDIN EN.CITE.DATA </w:instrText>
      </w:r>
      <w:r>
        <w:rPr>
          <w:sz w:val="24"/>
          <w:szCs w:val="24"/>
          <w:lang w:val="en-US"/>
        </w:rPr>
      </w:r>
      <w:r>
        <w:rPr>
          <w:sz w:val="24"/>
          <w:szCs w:val="24"/>
          <w:lang w:val="en-US"/>
        </w:rPr>
        <w:fldChar w:fldCharType="end"/>
      </w:r>
      <w:r>
        <w:rPr>
          <w:sz w:val="24"/>
          <w:szCs w:val="24"/>
          <w:lang w:val="en-US"/>
        </w:rPr>
      </w:r>
      <w:r>
        <w:rPr>
          <w:sz w:val="24"/>
          <w:szCs w:val="24"/>
          <w:lang w:val="en-US"/>
        </w:rPr>
        <w:fldChar w:fldCharType="separate"/>
      </w:r>
      <w:r>
        <w:rPr>
          <w:noProof/>
          <w:sz w:val="24"/>
          <w:szCs w:val="24"/>
          <w:lang w:val="en-US"/>
        </w:rPr>
        <w:t>(22, 65)</w:t>
      </w:r>
      <w:r>
        <w:rPr>
          <w:sz w:val="24"/>
          <w:szCs w:val="24"/>
          <w:lang w:val="en-US"/>
        </w:rPr>
        <w:fldChar w:fldCharType="end"/>
      </w:r>
      <w:r>
        <w:rPr>
          <w:sz w:val="24"/>
          <w:szCs w:val="24"/>
          <w:lang w:val="en-US"/>
        </w:rPr>
        <w:t xml:space="preserve"> Briefly, HEI-2015 is a composite measure of conformance to the 2015–2020 Dietary Guidelines for Americans and has been well validated in the US population.</w:t>
      </w:r>
      <w:r>
        <w:rPr>
          <w:sz w:val="24"/>
          <w:szCs w:val="24"/>
          <w:lang w:val="en-US"/>
        </w:rPr>
        <w:fldChar w:fldCharType="begin">
          <w:fldData xml:space="preserve">PEVuZE5vdGU+PENpdGU+PEF1dGhvcj5SZWVkeTwvQXV0aG9yPjxZZWFyPjIwMTg8L1llYXI+PFJl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</w:fldData>
        </w:fldChar>
      </w:r>
      <w:r>
        <w:rPr>
          <w:sz w:val="24"/>
          <w:szCs w:val="24"/>
          <w:lang w:val="en-US"/>
        </w:rPr>
        <w:instrText xml:space="preserve"> ADDIN EN.CITE </w:instrText>
      </w:r>
      <w:r>
        <w:rPr>
          <w:sz w:val="24"/>
          <w:szCs w:val="24"/>
          <w:lang w:val="en-US"/>
        </w:rPr>
        <w:fldChar w:fldCharType="begin">
          <w:fldData xml:space="preserve">PEVuZE5vdGU+PENpdGU+PEF1dGhvcj5SZWVkeTwvQXV0aG9yPjxZZWFyPjIwMTg8L1llYXI+PFJl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</w:fldData>
        </w:fldChar>
      </w:r>
      <w:r>
        <w:rPr>
          <w:sz w:val="24"/>
          <w:szCs w:val="24"/>
          <w:lang w:val="en-US"/>
        </w:rPr>
        <w:instrText xml:space="preserve"> ADDIN EN.CITE.DATA </w:instrText>
      </w:r>
      <w:r>
        <w:rPr>
          <w:sz w:val="24"/>
          <w:szCs w:val="24"/>
          <w:lang w:val="en-US"/>
        </w:rPr>
      </w:r>
      <w:r>
        <w:rPr>
          <w:sz w:val="24"/>
          <w:szCs w:val="24"/>
          <w:lang w:val="en-US"/>
        </w:rPr>
        <w:fldChar w:fldCharType="end"/>
      </w:r>
      <w:r>
        <w:rPr>
          <w:sz w:val="24"/>
          <w:szCs w:val="24"/>
          <w:lang w:val="en-US"/>
        </w:rPr>
      </w:r>
      <w:r>
        <w:rPr>
          <w:sz w:val="24"/>
          <w:szCs w:val="24"/>
          <w:lang w:val="en-US"/>
        </w:rPr>
        <w:fldChar w:fldCharType="separate"/>
      </w:r>
      <w:r>
        <w:rPr>
          <w:noProof/>
          <w:sz w:val="24"/>
          <w:szCs w:val="24"/>
          <w:lang w:val="en-US"/>
        </w:rPr>
        <w:t>(66)</w:t>
      </w:r>
      <w:r>
        <w:rPr>
          <w:sz w:val="24"/>
          <w:szCs w:val="24"/>
          <w:lang w:val="en-US"/>
        </w:rPr>
        <w:fldChar w:fldCharType="end"/>
      </w:r>
      <w:r>
        <w:rPr>
          <w:sz w:val="24"/>
          <w:szCs w:val="24"/>
          <w:lang w:val="en-US"/>
        </w:rPr>
        <w:t xml:space="preserve"> The adequacy components (maximum score) were total fruits (5), whole fruits (5), total vegetables (5), greens and beans (5), whole grains (10), dairy (10), total protein foods (5), seafood and plant proteins (5), and fatty acids (ratio of the sum of polyunsaturated and monounsaturated fatty acids to saturated fatty acids, 10). The moderation components were refined grains (10), sodium (10), added sugars (10), and saturated fats (10). HEI-2015 is a 100-point scale, with a higher score indicating a better quality of overall diet.</w:t>
      </w:r>
    </w:p>
    <w:p w14:paraId="12608D46" w14:textId="77777777" w:rsidR="005173BB" w:rsidRDefault="005173BB" w:rsidP="005173BB">
      <w:pPr>
        <w:jc w:val="both"/>
        <w:rPr>
          <w:sz w:val="24"/>
          <w:szCs w:val="24"/>
          <w:lang w:val="en-US"/>
        </w:rPr>
      </w:pPr>
    </w:p>
    <w:p w14:paraId="1D18724D" w14:textId="77777777" w:rsidR="005173BB" w:rsidRDefault="005173BB" w:rsidP="005173BB">
      <w:pPr>
        <w:rPr>
          <w:sz w:val="24"/>
          <w:szCs w:val="24"/>
          <w:lang w:val="en-US"/>
        </w:rPr>
      </w:pPr>
    </w:p>
    <w:p w14:paraId="4DE5AC78" w14:textId="77777777" w:rsidR="005173BB" w:rsidRDefault="005173BB" w:rsidP="005173BB">
      <w:pPr>
        <w:rPr>
          <w:sz w:val="24"/>
          <w:szCs w:val="24"/>
          <w:lang w:val="en-US"/>
        </w:rPr>
      </w:pPr>
    </w:p>
    <w:p w14:paraId="7F164FC8" w14:textId="77777777" w:rsidR="005173BB" w:rsidRDefault="005173BB" w:rsidP="005173BB">
      <w:pPr>
        <w:rPr>
          <w:sz w:val="24"/>
          <w:szCs w:val="24"/>
          <w:lang w:val="en-US"/>
        </w:rPr>
      </w:pPr>
    </w:p>
    <w:p w14:paraId="15FFA3D8" w14:textId="77777777" w:rsidR="005173BB" w:rsidRDefault="005173BB" w:rsidP="005173BB">
      <w:pPr>
        <w:rPr>
          <w:sz w:val="24"/>
          <w:szCs w:val="24"/>
          <w:lang w:val="en-US"/>
        </w:rPr>
      </w:pPr>
    </w:p>
    <w:p w14:paraId="0B3D566F" w14:textId="77777777" w:rsidR="005173BB" w:rsidRDefault="005173BB" w:rsidP="005173BB">
      <w:pPr>
        <w:rPr>
          <w:sz w:val="24"/>
          <w:szCs w:val="24"/>
          <w:lang w:val="en-US"/>
        </w:rPr>
      </w:pPr>
    </w:p>
    <w:p w14:paraId="4B29A64F" w14:textId="77777777" w:rsidR="005173BB" w:rsidRDefault="005173BB" w:rsidP="005173BB">
      <w:pPr>
        <w:pStyle w:val="EndNoteBibliography"/>
        <w:rPr>
          <w:sz w:val="20"/>
          <w:szCs w:val="20"/>
          <w:lang w:val="en-US"/>
        </w:rPr>
      </w:pPr>
      <w:r>
        <w:rPr>
          <w:lang w:val="en-US"/>
        </w:rPr>
        <w:fldChar w:fldCharType="begin"/>
      </w:r>
      <w:r>
        <w:rPr>
          <w:lang w:val="it-IT"/>
        </w:rPr>
        <w:instrText xml:space="preserve"> ADDIN EN.REFLIST </w:instrText>
      </w:r>
      <w:r>
        <w:rPr>
          <w:lang w:val="en-US"/>
        </w:rPr>
        <w:fldChar w:fldCharType="separate"/>
      </w:r>
      <w:r>
        <w:rPr>
          <w:lang w:val="it-IT"/>
        </w:rPr>
        <w:t>1.</w:t>
      </w:r>
      <w:r>
        <w:rPr>
          <w:lang w:val="it-IT"/>
        </w:rPr>
        <w:tab/>
        <w:t xml:space="preserve">Laouali N, Mancini FR, Hajji-Louati M, et al. </w:t>
      </w:r>
      <w:r>
        <w:rPr>
          <w:lang w:val="en-US"/>
        </w:rPr>
        <w:t xml:space="preserve">Dietary inflammatory index and type 2 diabetes risk in a prospective cohort of 70,991 women followed for 20 years: the mediating role of BMI. </w:t>
      </w:r>
      <w:r>
        <w:rPr>
          <w:i/>
          <w:lang w:val="en-US"/>
        </w:rPr>
        <w:t xml:space="preserve">Diabetologia </w:t>
      </w:r>
      <w:r>
        <w:rPr>
          <w:lang w:val="en-US"/>
        </w:rPr>
        <w:t xml:space="preserve">2019; </w:t>
      </w:r>
      <w:r>
        <w:rPr>
          <w:b/>
          <w:lang w:val="en-US"/>
        </w:rPr>
        <w:t>62</w:t>
      </w:r>
      <w:r>
        <w:rPr>
          <w:lang w:val="en-US"/>
        </w:rPr>
        <w:t>: 2222-32.</w:t>
      </w:r>
    </w:p>
    <w:p w14:paraId="17DDF134" w14:textId="77777777" w:rsidR="005173BB" w:rsidRDefault="005173BB" w:rsidP="005173BB">
      <w:pPr>
        <w:pStyle w:val="EndNoteBibliography"/>
        <w:rPr>
          <w:lang w:val="en-US"/>
        </w:rPr>
      </w:pPr>
      <w:r>
        <w:rPr>
          <w:lang w:val="en-US"/>
        </w:rPr>
        <w:t>2.</w:t>
      </w:r>
      <w:r>
        <w:rPr>
          <w:lang w:val="en-US"/>
        </w:rPr>
        <w:tab/>
        <w:t xml:space="preserve">van Woudenbergh GJ, Theofylaktopoulou D, Kuijsten A, et al. Adapted dietary inflammatory index and its association with a summary score for low-grade inflammation and markers of glucose metabolism: the Cohort study on Diabetes and Atherosclerosis Maastricht (CODAM) and the Hoorn study. </w:t>
      </w:r>
      <w:r>
        <w:rPr>
          <w:i/>
          <w:lang w:val="en-US"/>
        </w:rPr>
        <w:t xml:space="preserve">Am J Clin Nutr </w:t>
      </w:r>
      <w:r>
        <w:rPr>
          <w:lang w:val="en-US"/>
        </w:rPr>
        <w:t xml:space="preserve">2013; </w:t>
      </w:r>
      <w:r>
        <w:rPr>
          <w:b/>
          <w:lang w:val="en-US"/>
        </w:rPr>
        <w:t>98</w:t>
      </w:r>
      <w:r>
        <w:rPr>
          <w:lang w:val="en-US"/>
        </w:rPr>
        <w:t>: 1533-42.</w:t>
      </w:r>
    </w:p>
    <w:p w14:paraId="387B1CD3" w14:textId="77777777" w:rsidR="005173BB" w:rsidRDefault="005173BB" w:rsidP="005173BB">
      <w:pPr>
        <w:pStyle w:val="EndNoteBibliography"/>
        <w:rPr>
          <w:lang w:val="en-US"/>
        </w:rPr>
      </w:pPr>
      <w:r>
        <w:rPr>
          <w:lang w:val="en-US"/>
        </w:rPr>
        <w:t>3.</w:t>
      </w:r>
      <w:r>
        <w:rPr>
          <w:lang w:val="en-US"/>
        </w:rPr>
        <w:tab/>
        <w:t xml:space="preserve">Shivappa N, Steck SE, Hurley TG, Hussey JR, Hebert JR. Designing and developing a literature-derived, population-based dietary inflammatory index. </w:t>
      </w:r>
      <w:r>
        <w:rPr>
          <w:i/>
          <w:lang w:val="en-US"/>
        </w:rPr>
        <w:t xml:space="preserve">Public Health Nutr </w:t>
      </w:r>
      <w:r>
        <w:rPr>
          <w:lang w:val="en-US"/>
        </w:rPr>
        <w:t xml:space="preserve">2014; </w:t>
      </w:r>
      <w:r>
        <w:rPr>
          <w:b/>
          <w:lang w:val="en-US"/>
        </w:rPr>
        <w:t>17</w:t>
      </w:r>
      <w:r>
        <w:rPr>
          <w:lang w:val="en-US"/>
        </w:rPr>
        <w:t>: 1689-96.</w:t>
      </w:r>
    </w:p>
    <w:p w14:paraId="660DA8AF" w14:textId="77777777" w:rsidR="005173BB" w:rsidRDefault="005173BB" w:rsidP="005173BB">
      <w:pPr>
        <w:pStyle w:val="EndNoteBibliography"/>
        <w:rPr>
          <w:lang w:val="en-US"/>
        </w:rPr>
      </w:pPr>
      <w:r>
        <w:rPr>
          <w:lang w:val="en-US"/>
        </w:rPr>
        <w:t>4.</w:t>
      </w:r>
      <w:r>
        <w:rPr>
          <w:lang w:val="en-US"/>
        </w:rPr>
        <w:tab/>
        <w:t xml:space="preserve">Cavicchia PP, Steck SE, Hurley TG, et al. A new dietary inflammatory index predicts interval changes in serum high-sensitivity C-reactive protein. </w:t>
      </w:r>
      <w:r>
        <w:rPr>
          <w:i/>
          <w:lang w:val="en-US"/>
        </w:rPr>
        <w:t xml:space="preserve">J Nutr </w:t>
      </w:r>
      <w:r>
        <w:rPr>
          <w:lang w:val="en-US"/>
        </w:rPr>
        <w:t xml:space="preserve">2009; </w:t>
      </w:r>
      <w:r>
        <w:rPr>
          <w:b/>
          <w:lang w:val="en-US"/>
        </w:rPr>
        <w:t>139</w:t>
      </w:r>
      <w:r>
        <w:rPr>
          <w:lang w:val="en-US"/>
        </w:rPr>
        <w:t>: 2365-72.</w:t>
      </w:r>
    </w:p>
    <w:p w14:paraId="350D4034" w14:textId="77777777" w:rsidR="005173BB" w:rsidRDefault="005173BB" w:rsidP="005173BB">
      <w:pPr>
        <w:pStyle w:val="EndNoteBibliography"/>
        <w:rPr>
          <w:lang w:val="en-US"/>
        </w:rPr>
      </w:pPr>
      <w:r>
        <w:rPr>
          <w:lang w:val="en-US"/>
        </w:rPr>
        <w:t>5.</w:t>
      </w:r>
      <w:r>
        <w:rPr>
          <w:lang w:val="en-US"/>
        </w:rPr>
        <w:tab/>
        <w:t xml:space="preserve">Willett WC, Howe GR, Kushi LH. Adjustment for total energy intake in epidemiologic studies. </w:t>
      </w:r>
      <w:r>
        <w:rPr>
          <w:i/>
          <w:lang w:val="en-US"/>
        </w:rPr>
        <w:t xml:space="preserve">Am J Clin Nutr </w:t>
      </w:r>
      <w:r>
        <w:rPr>
          <w:lang w:val="en-US"/>
        </w:rPr>
        <w:t xml:space="preserve">1997; </w:t>
      </w:r>
      <w:r>
        <w:rPr>
          <w:b/>
          <w:lang w:val="en-US"/>
        </w:rPr>
        <w:t>65</w:t>
      </w:r>
      <w:r>
        <w:rPr>
          <w:lang w:val="en-US"/>
        </w:rPr>
        <w:t>: 1220S-8S; discussion 9S-31S.</w:t>
      </w:r>
    </w:p>
    <w:p w14:paraId="5864E3AE" w14:textId="77777777" w:rsidR="005173BB" w:rsidRDefault="005173BB" w:rsidP="005173BB">
      <w:pPr>
        <w:pStyle w:val="EndNoteBibliography"/>
        <w:rPr>
          <w:lang w:val="en-US"/>
        </w:rPr>
      </w:pPr>
      <w:r>
        <w:rPr>
          <w:lang w:val="en-US"/>
        </w:rPr>
        <w:t>6.</w:t>
      </w:r>
      <w:r>
        <w:rPr>
          <w:lang w:val="en-US"/>
        </w:rPr>
        <w:tab/>
        <w:t xml:space="preserve">Krebs-Smith SM, Pannucci TE, Subar AF, et al. Update of the Healthy Eating Index: HEI-2015. </w:t>
      </w:r>
      <w:r>
        <w:rPr>
          <w:i/>
          <w:lang w:val="en-US"/>
        </w:rPr>
        <w:t xml:space="preserve">J Acad Nutr Diet </w:t>
      </w:r>
      <w:r>
        <w:rPr>
          <w:lang w:val="en-US"/>
        </w:rPr>
        <w:t xml:space="preserve">2018; </w:t>
      </w:r>
      <w:r>
        <w:rPr>
          <w:b/>
          <w:lang w:val="en-US"/>
        </w:rPr>
        <w:t>118</w:t>
      </w:r>
      <w:r>
        <w:rPr>
          <w:lang w:val="en-US"/>
        </w:rPr>
        <w:t>: 1591-602.</w:t>
      </w:r>
    </w:p>
    <w:p w14:paraId="317F6D6B" w14:textId="77777777" w:rsidR="005173BB" w:rsidRDefault="005173BB" w:rsidP="005173BB">
      <w:pPr>
        <w:pStyle w:val="EndNoteBibliography"/>
        <w:rPr>
          <w:lang w:val="en-US"/>
        </w:rPr>
      </w:pPr>
      <w:r>
        <w:rPr>
          <w:lang w:val="en-US"/>
        </w:rPr>
        <w:t>7.</w:t>
      </w:r>
      <w:r>
        <w:rPr>
          <w:lang w:val="en-US"/>
        </w:rPr>
        <w:tab/>
        <w:t xml:space="preserve">Panizza CE, Shvetsov YB, Harmon BE, et al. Testing the Predictive Validity of the Healthy Eating Index-2015 in the Multiethnic Cohort: Is the Score Associated with a Reduced Risk of All-Cause and Cause-Specific Mortality? </w:t>
      </w:r>
      <w:r>
        <w:rPr>
          <w:i/>
          <w:lang w:val="en-US"/>
        </w:rPr>
        <w:t xml:space="preserve">Nutrients </w:t>
      </w:r>
      <w:r>
        <w:rPr>
          <w:lang w:val="en-US"/>
        </w:rPr>
        <w:t xml:space="preserve">2018; </w:t>
      </w:r>
      <w:r>
        <w:rPr>
          <w:b/>
          <w:lang w:val="en-US"/>
        </w:rPr>
        <w:t>10</w:t>
      </w:r>
      <w:r>
        <w:rPr>
          <w:lang w:val="en-US"/>
        </w:rPr>
        <w:t>.</w:t>
      </w:r>
    </w:p>
    <w:p w14:paraId="0095683C" w14:textId="77777777" w:rsidR="005173BB" w:rsidRDefault="005173BB" w:rsidP="005173BB">
      <w:pPr>
        <w:pStyle w:val="EndNoteBibliography"/>
        <w:rPr>
          <w:lang w:val="en-US"/>
        </w:rPr>
      </w:pPr>
      <w:r>
        <w:rPr>
          <w:lang w:val="en-US"/>
        </w:rPr>
        <w:t>8.</w:t>
      </w:r>
      <w:r>
        <w:rPr>
          <w:lang w:val="en-US"/>
        </w:rPr>
        <w:tab/>
        <w:t xml:space="preserve">Reedy J, Lerman JL, Krebs-Smith SM, et al. Evaluation of the Healthy Eating Index-2015. </w:t>
      </w:r>
      <w:r>
        <w:rPr>
          <w:i/>
          <w:lang w:val="en-US"/>
        </w:rPr>
        <w:t xml:space="preserve">J Acad Nutr Diet </w:t>
      </w:r>
      <w:r>
        <w:rPr>
          <w:lang w:val="en-US"/>
        </w:rPr>
        <w:t xml:space="preserve">2018; </w:t>
      </w:r>
      <w:r>
        <w:rPr>
          <w:b/>
          <w:lang w:val="en-US"/>
        </w:rPr>
        <w:t>118</w:t>
      </w:r>
      <w:r>
        <w:rPr>
          <w:lang w:val="en-US"/>
        </w:rPr>
        <w:t>: 1622-33.</w:t>
      </w:r>
    </w:p>
    <w:p w14:paraId="7ECC6869" w14:textId="77777777" w:rsidR="005173BB" w:rsidRDefault="005173BB" w:rsidP="005173BB">
      <w:pPr>
        <w:tabs>
          <w:tab w:val="left" w:pos="1578"/>
        </w:tabs>
        <w:rPr>
          <w:lang w:val="en-US"/>
        </w:rPr>
      </w:pPr>
      <w:r>
        <w:rPr>
          <w:lang w:val="en-US"/>
        </w:rPr>
        <w:fldChar w:fldCharType="end"/>
      </w:r>
    </w:p>
    <w:p w14:paraId="02CE8135" w14:textId="77777777" w:rsidR="005173BB" w:rsidRDefault="005173BB" w:rsidP="005173BB">
      <w:pPr>
        <w:autoSpaceDE/>
        <w:autoSpaceDN/>
        <w:rPr>
          <w:lang w:val="en-US"/>
        </w:rPr>
        <w:sectPr w:rsidR="005173BB">
          <w:pgSz w:w="12240" w:h="15840"/>
          <w:pgMar w:top="720" w:right="720" w:bottom="720" w:left="720" w:header="720" w:footer="720" w:gutter="0"/>
          <w:cols w:space="720"/>
        </w:sectPr>
      </w:pPr>
    </w:p>
    <w:p w14:paraId="473F6D0D" w14:textId="77777777" w:rsidR="005173BB" w:rsidRDefault="005173BB" w:rsidP="005173BB">
      <w:pPr>
        <w:jc w:val="both"/>
        <w:rPr>
          <w:b/>
          <w:bCs/>
          <w:sz w:val="24"/>
          <w:szCs w:val="24"/>
          <w:lang w:val="en-US"/>
        </w:rPr>
      </w:pPr>
    </w:p>
    <w:p w14:paraId="6747584D" w14:textId="77777777" w:rsidR="005173BB" w:rsidRDefault="005173BB" w:rsidP="005173BB">
      <w:pPr>
        <w:jc w:val="both"/>
        <w:rPr>
          <w:b/>
          <w:bCs/>
          <w:sz w:val="24"/>
          <w:szCs w:val="24"/>
          <w:lang w:val="en-US"/>
        </w:rPr>
      </w:pPr>
    </w:p>
    <w:p w14:paraId="371364E1" w14:textId="77777777" w:rsidR="005173BB" w:rsidRDefault="005173BB" w:rsidP="005173BB">
      <w:pPr>
        <w:jc w:val="both"/>
        <w:rPr>
          <w:b/>
          <w:bCs/>
          <w:sz w:val="24"/>
          <w:szCs w:val="24"/>
          <w:lang w:val="en-US"/>
        </w:rPr>
      </w:pPr>
    </w:p>
    <w:p w14:paraId="7E11DC95" w14:textId="35882F9E" w:rsidR="005173BB" w:rsidRDefault="005173BB" w:rsidP="005173BB">
      <w:pPr>
        <w:tabs>
          <w:tab w:val="center" w:pos="6133"/>
        </w:tabs>
        <w:ind w:left="1440"/>
        <w:rPr>
          <w:lang w:val="en-US"/>
        </w:rPr>
      </w:pPr>
      <w:r>
        <w:rPr>
          <w:noProof/>
        </w:rPr>
        <w:drawing>
          <wp:anchor distT="0" distB="0" distL="114300" distR="114300" simplePos="0" relativeHeight="251659264" behindDoc="0" locked="0" layoutInCell="1" allowOverlap="1" wp14:anchorId="6D3448AB" wp14:editId="295B7AF1">
            <wp:simplePos x="0" y="0"/>
            <wp:positionH relativeFrom="margin">
              <wp:align>left</wp:align>
            </wp:positionH>
            <wp:positionV relativeFrom="paragraph">
              <wp:align>top</wp:align>
            </wp:positionV>
            <wp:extent cx="2863850" cy="2368550"/>
            <wp:effectExtent l="0" t="0" r="0" b="0"/>
            <wp:wrapSquare wrapText="bothSides"/>
            <wp:docPr id="17" name="Picture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rt, line 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63850" cy="2368550"/>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w:t xml:space="preserve"> </w:t>
      </w:r>
      <w:r>
        <w:rPr>
          <w:noProof/>
        </w:rPr>
        <w:drawing>
          <wp:inline distT="0" distB="0" distL="0" distR="0" wp14:anchorId="0FE7CD87" wp14:editId="3F2B9A00">
            <wp:extent cx="2857500" cy="2371725"/>
            <wp:effectExtent l="0" t="0" r="0" b="952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 line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371725"/>
                    </a:xfrm>
                    <a:prstGeom prst="rect">
                      <a:avLst/>
                    </a:prstGeom>
                    <a:noFill/>
                    <a:ln>
                      <a:noFill/>
                    </a:ln>
                  </pic:spPr>
                </pic:pic>
              </a:graphicData>
            </a:graphic>
          </wp:inline>
        </w:drawing>
      </w:r>
      <w:r>
        <w:rPr>
          <w:noProof/>
          <w:lang w:val="en-US"/>
        </w:rPr>
        <w:t xml:space="preserve">    </w:t>
      </w:r>
      <w:r>
        <w:rPr>
          <w:noProof/>
        </w:rPr>
        <w:drawing>
          <wp:inline distT="0" distB="0" distL="0" distR="0" wp14:anchorId="4AC47BF9" wp14:editId="1C13305A">
            <wp:extent cx="2867025" cy="2362200"/>
            <wp:effectExtent l="0" t="0" r="9525"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7025" cy="2362200"/>
                    </a:xfrm>
                    <a:prstGeom prst="rect">
                      <a:avLst/>
                    </a:prstGeom>
                    <a:noFill/>
                    <a:ln>
                      <a:noFill/>
                    </a:ln>
                  </pic:spPr>
                </pic:pic>
              </a:graphicData>
            </a:graphic>
          </wp:inline>
        </w:drawing>
      </w:r>
      <w:r>
        <w:rPr>
          <w:lang w:val="en-US"/>
        </w:rPr>
        <w:br w:type="textWrapping" w:clear="all"/>
      </w:r>
    </w:p>
    <w:p w14:paraId="0E483FF6" w14:textId="79D92F19" w:rsidR="005173BB" w:rsidRDefault="005173BB" w:rsidP="005173BB">
      <w:pPr>
        <w:rPr>
          <w:b/>
          <w:bCs/>
          <w:sz w:val="24"/>
          <w:szCs w:val="24"/>
          <w:lang w:val="en-US"/>
        </w:rPr>
      </w:pPr>
      <w:r>
        <w:rPr>
          <w:lang w:val="en-US"/>
        </w:rPr>
        <w:t xml:space="preserve"> </w:t>
      </w:r>
      <w:r>
        <w:rPr>
          <w:noProof/>
        </w:rPr>
        <w:drawing>
          <wp:inline distT="0" distB="0" distL="0" distR="0" wp14:anchorId="6ED4E7AE" wp14:editId="7305DBA7">
            <wp:extent cx="2867025" cy="2362200"/>
            <wp:effectExtent l="0" t="0" r="9525"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rt, line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7025" cy="2362200"/>
                    </a:xfrm>
                    <a:prstGeom prst="rect">
                      <a:avLst/>
                    </a:prstGeom>
                    <a:noFill/>
                    <a:ln>
                      <a:noFill/>
                    </a:ln>
                  </pic:spPr>
                </pic:pic>
              </a:graphicData>
            </a:graphic>
          </wp:inline>
        </w:drawing>
      </w:r>
      <w:r>
        <w:rPr>
          <w:noProof/>
        </w:rPr>
        <w:drawing>
          <wp:anchor distT="0" distB="0" distL="114300" distR="114300" simplePos="0" relativeHeight="251660288" behindDoc="0" locked="0" layoutInCell="1" allowOverlap="1" wp14:anchorId="09D4C3AE" wp14:editId="196604F7">
            <wp:simplePos x="0" y="0"/>
            <wp:positionH relativeFrom="column">
              <wp:align>left</wp:align>
            </wp:positionH>
            <wp:positionV relativeFrom="paragraph">
              <wp:align>top</wp:align>
            </wp:positionV>
            <wp:extent cx="2857500" cy="2355850"/>
            <wp:effectExtent l="0" t="0" r="0" b="6350"/>
            <wp:wrapSquare wrapText="bothSides"/>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art, line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355850"/>
                    </a:xfrm>
                    <a:prstGeom prst="rect">
                      <a:avLst/>
                    </a:prstGeom>
                    <a:noFill/>
                  </pic:spPr>
                </pic:pic>
              </a:graphicData>
            </a:graphic>
            <wp14:sizeRelH relativeFrom="page">
              <wp14:pctWidth>0</wp14:pctWidth>
            </wp14:sizeRelH>
            <wp14:sizeRelV relativeFrom="page">
              <wp14:pctHeight>0</wp14:pctHeight>
            </wp14:sizeRelV>
          </wp:anchor>
        </w:drawing>
      </w:r>
      <w:r>
        <w:rPr>
          <w:lang w:val="en-US"/>
        </w:rPr>
        <w:t xml:space="preserve">  </w:t>
      </w:r>
      <w:r>
        <w:rPr>
          <w:noProof/>
        </w:rPr>
        <w:drawing>
          <wp:inline distT="0" distB="0" distL="0" distR="0" wp14:anchorId="78C8F173" wp14:editId="4FD225F6">
            <wp:extent cx="2867025" cy="2371725"/>
            <wp:effectExtent l="0" t="0" r="9525" b="9525"/>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art, lin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7025" cy="2371725"/>
                    </a:xfrm>
                    <a:prstGeom prst="rect">
                      <a:avLst/>
                    </a:prstGeom>
                    <a:noFill/>
                    <a:ln>
                      <a:noFill/>
                    </a:ln>
                  </pic:spPr>
                </pic:pic>
              </a:graphicData>
            </a:graphic>
          </wp:inline>
        </w:drawing>
      </w:r>
      <w:r>
        <w:rPr>
          <w:lang w:val="en-US"/>
        </w:rPr>
        <w:br w:type="textWrapping" w:clear="all"/>
      </w:r>
    </w:p>
    <w:p w14:paraId="04CA6F5A" w14:textId="77777777" w:rsidR="005173BB" w:rsidRDefault="005173BB" w:rsidP="005173BB">
      <w:pPr>
        <w:jc w:val="both"/>
        <w:rPr>
          <w:sz w:val="24"/>
          <w:szCs w:val="24"/>
          <w:lang w:val="en-US"/>
        </w:rPr>
      </w:pPr>
      <w:r>
        <w:rPr>
          <w:b/>
          <w:bCs/>
          <w:sz w:val="24"/>
          <w:szCs w:val="24"/>
          <w:lang w:val="en-US"/>
        </w:rPr>
        <w:t>Figure S1:</w:t>
      </w:r>
      <w:r>
        <w:rPr>
          <w:sz w:val="24"/>
          <w:szCs w:val="24"/>
          <w:lang w:val="en-US"/>
        </w:rPr>
        <w:t xml:space="preserve"> Adjusted all-cause (red), cardiovascular disease (green) and cancer (blue) mortality associated to blood lead and urinary cadmium concentrations </w:t>
      </w:r>
      <w:r>
        <w:rPr>
          <w:iCs/>
          <w:sz w:val="24"/>
          <w:szCs w:val="24"/>
          <w:lang w:val="en-US"/>
        </w:rPr>
        <w:t>using restricted cubic spline (three knots placed at the 10th, 50th, and 90th percentiles). Models were adjusted for age, sex, ethnicity, poverty index, educational level, area of residence, smoking status, BMI, physical activity, diet quality evaluated by the healthy eating index and metals concentrations (mutual adjustment). Reference values for HRs: minimum concentrations; the solid lines represent the HR and the dashed lines the lower and upper 95% CI</w:t>
      </w:r>
      <w:r>
        <w:rPr>
          <w:sz w:val="24"/>
          <w:szCs w:val="24"/>
          <w:lang w:val="en-US"/>
        </w:rPr>
        <w:t>.</w:t>
      </w:r>
    </w:p>
    <w:p w14:paraId="651E7EE6" w14:textId="77777777" w:rsidR="005173BB" w:rsidRDefault="005173BB" w:rsidP="005173BB">
      <w:pPr>
        <w:autoSpaceDE/>
        <w:autoSpaceDN/>
        <w:rPr>
          <w:sz w:val="24"/>
          <w:szCs w:val="24"/>
          <w:lang w:val="en-US"/>
        </w:rPr>
        <w:sectPr w:rsidR="005173BB">
          <w:pgSz w:w="16837" w:h="11905" w:orient="landscape"/>
          <w:pgMar w:top="720" w:right="720" w:bottom="720" w:left="720" w:header="720" w:footer="360" w:gutter="0"/>
          <w:cols w:space="720"/>
        </w:sectPr>
      </w:pPr>
    </w:p>
    <w:p w14:paraId="5DF72807" w14:textId="77777777" w:rsidR="005173BB" w:rsidRDefault="005173BB" w:rsidP="005173BB">
      <w:pPr>
        <w:tabs>
          <w:tab w:val="center" w:pos="5592"/>
        </w:tabs>
        <w:rPr>
          <w:lang w:val="en-US"/>
        </w:rPr>
      </w:pPr>
      <w:r>
        <w:rPr>
          <w:b/>
          <w:lang w:val="en-US"/>
        </w:rPr>
        <w:lastRenderedPageBreak/>
        <w:t>A</w:t>
      </w:r>
      <w:r>
        <w:rPr>
          <w:lang w:val="en-US"/>
        </w:rPr>
        <w:t xml:space="preserve"> Blood lead: Age &lt; 50</w:t>
      </w:r>
      <w:r>
        <w:rPr>
          <w:lang w:val="en-US"/>
        </w:rPr>
        <w:tab/>
        <w:t xml:space="preserve">                                  </w:t>
      </w:r>
      <w:r>
        <w:rPr>
          <w:b/>
          <w:lang w:val="en-US"/>
        </w:rPr>
        <w:t>B</w:t>
      </w:r>
      <w:r>
        <w:rPr>
          <w:lang w:val="en-US"/>
        </w:rPr>
        <w:t xml:space="preserve"> Blood lead: Age ≥ 50</w:t>
      </w:r>
    </w:p>
    <w:p w14:paraId="6DC772A7" w14:textId="1FD01EE9" w:rsidR="005173BB" w:rsidRDefault="005173BB" w:rsidP="005173BB">
      <w:pPr>
        <w:rPr>
          <w:lang w:val="en-US"/>
        </w:rPr>
      </w:pPr>
      <w:r>
        <w:rPr>
          <w:noProof/>
        </w:rPr>
        <mc:AlternateContent>
          <mc:Choice Requires="wps">
            <w:drawing>
              <wp:anchor distT="0" distB="0" distL="114300" distR="114300" simplePos="0" relativeHeight="251661312" behindDoc="0" locked="0" layoutInCell="1" allowOverlap="1" wp14:anchorId="4263B1EB" wp14:editId="1EAE4D17">
                <wp:simplePos x="0" y="0"/>
                <wp:positionH relativeFrom="column">
                  <wp:posOffset>53975</wp:posOffset>
                </wp:positionH>
                <wp:positionV relativeFrom="paragraph">
                  <wp:posOffset>69215</wp:posOffset>
                </wp:positionV>
                <wp:extent cx="3392805" cy="3271520"/>
                <wp:effectExtent l="0" t="0" r="17145" b="2413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3271520"/>
                        </a:xfrm>
                        <a:prstGeom prst="rect">
                          <a:avLst/>
                        </a:prstGeom>
                        <a:solidFill>
                          <a:srgbClr val="FFFFFF"/>
                        </a:solidFill>
                        <a:ln w="9525">
                          <a:solidFill>
                            <a:srgbClr val="000000"/>
                          </a:solidFill>
                          <a:miter lim="800000"/>
                          <a:headEnd/>
                          <a:tailEnd/>
                        </a:ln>
                      </wps:spPr>
                      <wps:txbx>
                        <w:txbxContent>
                          <w:p w14:paraId="6CFEC0D4" w14:textId="5C3E3871" w:rsidR="005173BB" w:rsidRDefault="005173BB" w:rsidP="005173BB">
                            <w:r>
                              <w:rPr>
                                <w:rFonts w:ascii="Calibri" w:hAnsi="Calibri" w:cs="Calibri"/>
                                <w:noProof/>
                                <w:lang w:val="en-US" w:eastAsia="en-US"/>
                              </w:rPr>
                              <w:drawing>
                                <wp:inline distT="0" distB="0" distL="0" distR="0" wp14:anchorId="4FE3B0B4" wp14:editId="55DB61A7">
                                  <wp:extent cx="3200400" cy="3200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63B1EB" id="_x0000_t202" coordsize="21600,21600" o:spt="202" path="m,l,21600r21600,l21600,xe">
                <v:stroke joinstyle="miter"/>
                <v:path gradientshapeok="t" o:connecttype="rect"/>
              </v:shapetype>
              <v:shape id="Text Box 24" o:spid="_x0000_s1026" type="#_x0000_t202" style="position:absolute;margin-left:4.25pt;margin-top:5.45pt;width:267.15pt;height:257.6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">
                <v:textbox>
                  <w:txbxContent>
                    <w:p w14:paraId="6CFEC0D4" w14:textId="5C3E3871" w:rsidR="005173BB" w:rsidRDefault="005173BB" w:rsidP="005173BB">
                      <w:r>
                        <w:rPr>
                          <w:rFonts w:ascii="Calibri" w:hAnsi="Calibri" w:cs="Calibri"/>
                          <w:noProof/>
                          <w:lang w:val="en-US" w:eastAsia="en-US"/>
                        </w:rPr>
                        <w:drawing>
                          <wp:inline distT="0" distB="0" distL="0" distR="0" wp14:anchorId="4FE3B0B4" wp14:editId="55DB61A7">
                            <wp:extent cx="3200400" cy="3200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05AD57B2" wp14:editId="118CC8B1">
                <wp:simplePos x="0" y="0"/>
                <wp:positionH relativeFrom="column">
                  <wp:posOffset>3502025</wp:posOffset>
                </wp:positionH>
                <wp:positionV relativeFrom="paragraph">
                  <wp:posOffset>71755</wp:posOffset>
                </wp:positionV>
                <wp:extent cx="3392805" cy="3301365"/>
                <wp:effectExtent l="0" t="0" r="17145" b="1397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3300730"/>
                        </a:xfrm>
                        <a:prstGeom prst="rect">
                          <a:avLst/>
                        </a:prstGeom>
                        <a:solidFill>
                          <a:srgbClr val="FFFFFF"/>
                        </a:solidFill>
                        <a:ln w="9525">
                          <a:solidFill>
                            <a:srgbClr val="000000"/>
                          </a:solidFill>
                          <a:miter lim="800000"/>
                          <a:headEnd/>
                          <a:tailEnd/>
                        </a:ln>
                      </wps:spPr>
                      <wps:txbx>
                        <w:txbxContent>
                          <w:p w14:paraId="43C9DD01" w14:textId="039E3418" w:rsidR="005173BB" w:rsidRDefault="005173BB" w:rsidP="005173BB">
                            <w:r>
                              <w:rPr>
                                <w:rFonts w:ascii="Calibri" w:hAnsi="Calibri" w:cs="Calibri"/>
                                <w:noProof/>
                                <w:lang w:val="en-US" w:eastAsia="en-US"/>
                              </w:rPr>
                              <w:drawing>
                                <wp:inline distT="0" distB="0" distL="0" distR="0" wp14:anchorId="073628DA" wp14:editId="49209FC5">
                                  <wp:extent cx="3200400" cy="3200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5AD57B2" id="Text Box 26" o:spid="_x0000_s1027" type="#_x0000_t202" style="position:absolute;margin-left:275.75pt;margin-top:5.65pt;width:267.15pt;height:259.9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">
                <v:textbox style="mso-fit-shape-to-text:t">
                  <w:txbxContent>
                    <w:p w14:paraId="43C9DD01" w14:textId="039E3418" w:rsidR="005173BB" w:rsidRDefault="005173BB" w:rsidP="005173BB">
                      <w:r>
                        <w:rPr>
                          <w:rFonts w:ascii="Calibri" w:hAnsi="Calibri" w:cs="Calibri"/>
                          <w:noProof/>
                          <w:lang w:val="en-US" w:eastAsia="en-US"/>
                        </w:rPr>
                        <w:drawing>
                          <wp:inline distT="0" distB="0" distL="0" distR="0" wp14:anchorId="073628DA" wp14:editId="49209FC5">
                            <wp:extent cx="3200400" cy="3200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v:textbox>
              </v:shape>
            </w:pict>
          </mc:Fallback>
        </mc:AlternateContent>
      </w:r>
    </w:p>
    <w:p w14:paraId="17864FE8" w14:textId="77777777" w:rsidR="005173BB" w:rsidRDefault="005173BB" w:rsidP="005173BB">
      <w:pPr>
        <w:rPr>
          <w:lang w:val="en-US"/>
        </w:rPr>
      </w:pPr>
    </w:p>
    <w:p w14:paraId="16B425AA" w14:textId="77777777" w:rsidR="005173BB" w:rsidRDefault="005173BB" w:rsidP="005173BB">
      <w:pPr>
        <w:rPr>
          <w:lang w:val="en-US"/>
        </w:rPr>
      </w:pPr>
    </w:p>
    <w:p w14:paraId="1815AEF2" w14:textId="77777777" w:rsidR="005173BB" w:rsidRDefault="005173BB" w:rsidP="005173BB">
      <w:pPr>
        <w:rPr>
          <w:lang w:val="en-US"/>
        </w:rPr>
      </w:pPr>
    </w:p>
    <w:p w14:paraId="12E538A2" w14:textId="77777777" w:rsidR="005173BB" w:rsidRDefault="005173BB" w:rsidP="005173BB">
      <w:pPr>
        <w:tabs>
          <w:tab w:val="left" w:pos="9626"/>
        </w:tabs>
        <w:rPr>
          <w:lang w:val="en-US"/>
        </w:rPr>
      </w:pPr>
      <w:r>
        <w:rPr>
          <w:lang w:val="en-US"/>
        </w:rPr>
        <w:tab/>
      </w:r>
    </w:p>
    <w:p w14:paraId="7EBA5399" w14:textId="77777777" w:rsidR="005173BB" w:rsidRDefault="005173BB" w:rsidP="005173BB">
      <w:pPr>
        <w:rPr>
          <w:lang w:val="en-US"/>
        </w:rPr>
      </w:pPr>
    </w:p>
    <w:p w14:paraId="4D260FFD" w14:textId="77777777" w:rsidR="005173BB" w:rsidRDefault="005173BB" w:rsidP="005173BB">
      <w:pPr>
        <w:rPr>
          <w:lang w:val="en-US"/>
        </w:rPr>
      </w:pPr>
    </w:p>
    <w:p w14:paraId="48403D0B" w14:textId="77777777" w:rsidR="005173BB" w:rsidRDefault="005173BB" w:rsidP="005173BB">
      <w:pPr>
        <w:rPr>
          <w:lang w:val="en-US"/>
        </w:rPr>
      </w:pPr>
    </w:p>
    <w:p w14:paraId="6372AA8E" w14:textId="77777777" w:rsidR="005173BB" w:rsidRDefault="005173BB" w:rsidP="005173BB">
      <w:pPr>
        <w:rPr>
          <w:lang w:val="en-US"/>
        </w:rPr>
      </w:pPr>
    </w:p>
    <w:p w14:paraId="41060871" w14:textId="77777777" w:rsidR="005173BB" w:rsidRDefault="005173BB" w:rsidP="005173BB">
      <w:pPr>
        <w:rPr>
          <w:lang w:val="en-US"/>
        </w:rPr>
      </w:pPr>
    </w:p>
    <w:p w14:paraId="1F7E9E63" w14:textId="77777777" w:rsidR="005173BB" w:rsidRDefault="005173BB" w:rsidP="005173BB">
      <w:pPr>
        <w:rPr>
          <w:lang w:val="en-US"/>
        </w:rPr>
      </w:pPr>
    </w:p>
    <w:p w14:paraId="578EEC71" w14:textId="77777777" w:rsidR="005173BB" w:rsidRDefault="005173BB" w:rsidP="005173BB">
      <w:pPr>
        <w:rPr>
          <w:lang w:val="en-US"/>
        </w:rPr>
      </w:pPr>
    </w:p>
    <w:p w14:paraId="211198E6" w14:textId="77777777" w:rsidR="005173BB" w:rsidRDefault="005173BB" w:rsidP="005173BB">
      <w:pPr>
        <w:rPr>
          <w:lang w:val="en-US"/>
        </w:rPr>
      </w:pPr>
    </w:p>
    <w:p w14:paraId="3B236DF8" w14:textId="77777777" w:rsidR="005173BB" w:rsidRDefault="005173BB" w:rsidP="005173BB">
      <w:pPr>
        <w:rPr>
          <w:lang w:val="en-US"/>
        </w:rPr>
      </w:pPr>
    </w:p>
    <w:p w14:paraId="593EA8B2" w14:textId="77777777" w:rsidR="005173BB" w:rsidRDefault="005173BB" w:rsidP="005173BB">
      <w:pPr>
        <w:rPr>
          <w:lang w:val="en-US"/>
        </w:rPr>
      </w:pPr>
    </w:p>
    <w:p w14:paraId="53DA9A31" w14:textId="77777777" w:rsidR="005173BB" w:rsidRDefault="005173BB" w:rsidP="005173BB">
      <w:pPr>
        <w:rPr>
          <w:lang w:val="en-US"/>
        </w:rPr>
      </w:pPr>
    </w:p>
    <w:p w14:paraId="045A285D" w14:textId="77777777" w:rsidR="005173BB" w:rsidRDefault="005173BB" w:rsidP="005173BB">
      <w:pPr>
        <w:rPr>
          <w:lang w:val="en-US"/>
        </w:rPr>
      </w:pPr>
    </w:p>
    <w:p w14:paraId="11CB341B" w14:textId="77777777" w:rsidR="005173BB" w:rsidRDefault="005173BB" w:rsidP="005173BB">
      <w:pPr>
        <w:rPr>
          <w:lang w:val="en-US"/>
        </w:rPr>
      </w:pPr>
    </w:p>
    <w:p w14:paraId="3B9AABC0" w14:textId="77777777" w:rsidR="005173BB" w:rsidRDefault="005173BB" w:rsidP="005173BB">
      <w:pPr>
        <w:rPr>
          <w:lang w:val="en-US"/>
        </w:rPr>
      </w:pPr>
    </w:p>
    <w:p w14:paraId="37BBCA94" w14:textId="77777777" w:rsidR="005173BB" w:rsidRDefault="005173BB" w:rsidP="005173BB">
      <w:pPr>
        <w:rPr>
          <w:lang w:val="en-US"/>
        </w:rPr>
      </w:pPr>
    </w:p>
    <w:p w14:paraId="3A5763D6" w14:textId="77777777" w:rsidR="005173BB" w:rsidRDefault="005173BB" w:rsidP="005173BB">
      <w:pPr>
        <w:rPr>
          <w:lang w:val="en-US"/>
        </w:rPr>
      </w:pPr>
    </w:p>
    <w:p w14:paraId="459DDAF0" w14:textId="77777777" w:rsidR="005173BB" w:rsidRDefault="005173BB" w:rsidP="005173BB">
      <w:pPr>
        <w:rPr>
          <w:lang w:val="en-US"/>
        </w:rPr>
      </w:pPr>
    </w:p>
    <w:p w14:paraId="53E50CFE" w14:textId="77777777" w:rsidR="005173BB" w:rsidRDefault="005173BB" w:rsidP="005173BB">
      <w:pPr>
        <w:rPr>
          <w:lang w:val="en-US"/>
        </w:rPr>
      </w:pPr>
    </w:p>
    <w:p w14:paraId="15304404" w14:textId="77777777" w:rsidR="005173BB" w:rsidRDefault="005173BB" w:rsidP="005173BB">
      <w:pPr>
        <w:rPr>
          <w:lang w:val="en-US"/>
        </w:rPr>
      </w:pPr>
    </w:p>
    <w:p w14:paraId="77AE1BD3" w14:textId="77777777" w:rsidR="005173BB" w:rsidRDefault="005173BB" w:rsidP="005173BB">
      <w:pPr>
        <w:tabs>
          <w:tab w:val="center" w:pos="5592"/>
        </w:tabs>
        <w:rPr>
          <w:lang w:val="en-US"/>
        </w:rPr>
      </w:pPr>
      <w:r>
        <w:rPr>
          <w:b/>
          <w:lang w:val="en-US"/>
        </w:rPr>
        <w:t xml:space="preserve"> A</w:t>
      </w:r>
      <w:r>
        <w:rPr>
          <w:lang w:val="en-US"/>
        </w:rPr>
        <w:t xml:space="preserve"> Urinary cadmium: Age &lt; 50</w:t>
      </w:r>
      <w:r>
        <w:rPr>
          <w:lang w:val="en-US"/>
        </w:rPr>
        <w:tab/>
        <w:t xml:space="preserve">                                             </w:t>
      </w:r>
      <w:r>
        <w:rPr>
          <w:b/>
          <w:lang w:val="en-US"/>
        </w:rPr>
        <w:t>B</w:t>
      </w:r>
      <w:r>
        <w:rPr>
          <w:lang w:val="en-US"/>
        </w:rPr>
        <w:t xml:space="preserve"> Urinary cadmium: Age ≥ 50</w:t>
      </w:r>
    </w:p>
    <w:p w14:paraId="6D6E6DB4" w14:textId="694D70B4" w:rsidR="005173BB" w:rsidRDefault="005173BB" w:rsidP="005173BB">
      <w:pPr>
        <w:rPr>
          <w:lang w:val="en-US"/>
        </w:rPr>
      </w:pPr>
      <w:r>
        <w:rPr>
          <w:noProof/>
        </w:rPr>
        <mc:AlternateContent>
          <mc:Choice Requires="wps">
            <w:drawing>
              <wp:anchor distT="0" distB="0" distL="114300" distR="114300" simplePos="0" relativeHeight="251663360" behindDoc="0" locked="0" layoutInCell="1" allowOverlap="1" wp14:anchorId="6609FA8A" wp14:editId="06A45494">
                <wp:simplePos x="0" y="0"/>
                <wp:positionH relativeFrom="column">
                  <wp:posOffset>53975</wp:posOffset>
                </wp:positionH>
                <wp:positionV relativeFrom="paragraph">
                  <wp:posOffset>69215</wp:posOffset>
                </wp:positionV>
                <wp:extent cx="3392805" cy="3271520"/>
                <wp:effectExtent l="0" t="0" r="17145" b="2413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3271520"/>
                        </a:xfrm>
                        <a:prstGeom prst="rect">
                          <a:avLst/>
                        </a:prstGeom>
                        <a:solidFill>
                          <a:srgbClr val="FFFFFF"/>
                        </a:solidFill>
                        <a:ln w="9525">
                          <a:solidFill>
                            <a:srgbClr val="000000"/>
                          </a:solidFill>
                          <a:miter lim="800000"/>
                          <a:headEnd/>
                          <a:tailEnd/>
                        </a:ln>
                      </wps:spPr>
                      <wps:txbx>
                        <w:txbxContent>
                          <w:p w14:paraId="6BA4B2CD" w14:textId="774E3F89" w:rsidR="005173BB" w:rsidRDefault="005173BB" w:rsidP="005173BB">
                            <w:r>
                              <w:rPr>
                                <w:rFonts w:ascii="Calibri" w:hAnsi="Calibri" w:cs="Calibri"/>
                                <w:noProof/>
                                <w:lang w:val="en-US" w:eastAsia="en-US"/>
                              </w:rPr>
                              <w:drawing>
                                <wp:inline distT="0" distB="0" distL="0" distR="0" wp14:anchorId="03804A07" wp14:editId="7D81CACE">
                                  <wp:extent cx="3200400" cy="3200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09FA8A" id="Text Box 20" o:spid="_x0000_s1028" type="#_x0000_t202" style="position:absolute;margin-left:4.25pt;margin-top:5.45pt;width:267.15pt;height:257.6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">
                <v:textbox>
                  <w:txbxContent>
                    <w:p w14:paraId="6BA4B2CD" w14:textId="774E3F89" w:rsidR="005173BB" w:rsidRDefault="005173BB" w:rsidP="005173BB">
                      <w:r>
                        <w:rPr>
                          <w:rFonts w:ascii="Calibri" w:hAnsi="Calibri" w:cs="Calibri"/>
                          <w:noProof/>
                          <w:lang w:val="en-US" w:eastAsia="en-US"/>
                        </w:rPr>
                        <w:drawing>
                          <wp:inline distT="0" distB="0" distL="0" distR="0" wp14:anchorId="03804A07" wp14:editId="7D81CACE">
                            <wp:extent cx="3200400" cy="3200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27DD66C9" wp14:editId="512D2992">
                <wp:simplePos x="0" y="0"/>
                <wp:positionH relativeFrom="column">
                  <wp:posOffset>3502025</wp:posOffset>
                </wp:positionH>
                <wp:positionV relativeFrom="paragraph">
                  <wp:posOffset>71755</wp:posOffset>
                </wp:positionV>
                <wp:extent cx="3392805" cy="3301365"/>
                <wp:effectExtent l="0" t="0" r="17145" b="1397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3300730"/>
                        </a:xfrm>
                        <a:prstGeom prst="rect">
                          <a:avLst/>
                        </a:prstGeom>
                        <a:solidFill>
                          <a:srgbClr val="FFFFFF"/>
                        </a:solidFill>
                        <a:ln w="9525">
                          <a:solidFill>
                            <a:srgbClr val="000000"/>
                          </a:solidFill>
                          <a:miter lim="800000"/>
                          <a:headEnd/>
                          <a:tailEnd/>
                        </a:ln>
                      </wps:spPr>
                      <wps:txbx>
                        <w:txbxContent>
                          <w:p w14:paraId="37E33ADC" w14:textId="19985111" w:rsidR="005173BB" w:rsidRDefault="005173BB" w:rsidP="005173BB">
                            <w:r>
                              <w:rPr>
                                <w:rFonts w:ascii="Calibri" w:hAnsi="Calibri" w:cs="Calibri"/>
                                <w:noProof/>
                                <w:lang w:val="en-US" w:eastAsia="en-US"/>
                              </w:rPr>
                              <w:drawing>
                                <wp:inline distT="0" distB="0" distL="0" distR="0" wp14:anchorId="5E0D1B75" wp14:editId="7D895BEB">
                                  <wp:extent cx="3200400" cy="3200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7DD66C9" id="Text Box 22" o:spid="_x0000_s1029" type="#_x0000_t202" style="position:absolute;margin-left:275.75pt;margin-top:5.65pt;width:267.15pt;height:259.9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">
                <v:textbox style="mso-fit-shape-to-text:t">
                  <w:txbxContent>
                    <w:p w14:paraId="37E33ADC" w14:textId="19985111" w:rsidR="005173BB" w:rsidRDefault="005173BB" w:rsidP="005173BB">
                      <w:r>
                        <w:rPr>
                          <w:rFonts w:ascii="Calibri" w:hAnsi="Calibri" w:cs="Calibri"/>
                          <w:noProof/>
                          <w:lang w:val="en-US" w:eastAsia="en-US"/>
                        </w:rPr>
                        <w:drawing>
                          <wp:inline distT="0" distB="0" distL="0" distR="0" wp14:anchorId="5E0D1B75" wp14:editId="7D895BEB">
                            <wp:extent cx="3200400" cy="3200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v:textbox>
              </v:shape>
            </w:pict>
          </mc:Fallback>
        </mc:AlternateContent>
      </w:r>
    </w:p>
    <w:p w14:paraId="40737C90" w14:textId="77777777" w:rsidR="005173BB" w:rsidRDefault="005173BB" w:rsidP="005173BB">
      <w:pPr>
        <w:rPr>
          <w:lang w:val="en-US"/>
        </w:rPr>
      </w:pPr>
    </w:p>
    <w:p w14:paraId="297E88FD" w14:textId="77777777" w:rsidR="005173BB" w:rsidRDefault="005173BB" w:rsidP="005173BB">
      <w:pPr>
        <w:rPr>
          <w:lang w:val="en-US"/>
        </w:rPr>
      </w:pPr>
    </w:p>
    <w:p w14:paraId="765A223B" w14:textId="77777777" w:rsidR="005173BB" w:rsidRDefault="005173BB" w:rsidP="005173BB">
      <w:pPr>
        <w:rPr>
          <w:lang w:val="en-US"/>
        </w:rPr>
      </w:pPr>
    </w:p>
    <w:p w14:paraId="7AE026D8" w14:textId="77777777" w:rsidR="005173BB" w:rsidRDefault="005173BB" w:rsidP="005173BB">
      <w:pPr>
        <w:tabs>
          <w:tab w:val="left" w:pos="9626"/>
        </w:tabs>
        <w:rPr>
          <w:lang w:val="en-US"/>
        </w:rPr>
      </w:pPr>
      <w:r>
        <w:rPr>
          <w:lang w:val="en-US"/>
        </w:rPr>
        <w:tab/>
      </w:r>
    </w:p>
    <w:p w14:paraId="043F1E97" w14:textId="77777777" w:rsidR="005173BB" w:rsidRDefault="005173BB" w:rsidP="005173BB">
      <w:pPr>
        <w:rPr>
          <w:lang w:val="en-US"/>
        </w:rPr>
      </w:pPr>
    </w:p>
    <w:p w14:paraId="04852C8C" w14:textId="77777777" w:rsidR="005173BB" w:rsidRDefault="005173BB" w:rsidP="005173BB">
      <w:pPr>
        <w:rPr>
          <w:lang w:val="en-US"/>
        </w:rPr>
      </w:pPr>
    </w:p>
    <w:p w14:paraId="040AB85A" w14:textId="77777777" w:rsidR="005173BB" w:rsidRDefault="005173BB" w:rsidP="005173BB">
      <w:pPr>
        <w:rPr>
          <w:lang w:val="en-US"/>
        </w:rPr>
      </w:pPr>
    </w:p>
    <w:p w14:paraId="2A4EFEBB" w14:textId="77777777" w:rsidR="005173BB" w:rsidRDefault="005173BB" w:rsidP="005173BB">
      <w:pPr>
        <w:rPr>
          <w:lang w:val="en-US"/>
        </w:rPr>
      </w:pPr>
    </w:p>
    <w:p w14:paraId="338F21F4" w14:textId="77777777" w:rsidR="005173BB" w:rsidRDefault="005173BB" w:rsidP="005173BB">
      <w:pPr>
        <w:rPr>
          <w:lang w:val="en-US"/>
        </w:rPr>
      </w:pPr>
    </w:p>
    <w:p w14:paraId="15165533" w14:textId="77777777" w:rsidR="005173BB" w:rsidRDefault="005173BB" w:rsidP="005173BB">
      <w:pPr>
        <w:rPr>
          <w:lang w:val="en-US"/>
        </w:rPr>
      </w:pPr>
    </w:p>
    <w:p w14:paraId="14CF4AEA" w14:textId="77777777" w:rsidR="005173BB" w:rsidRDefault="005173BB" w:rsidP="005173BB">
      <w:pPr>
        <w:rPr>
          <w:lang w:val="en-US"/>
        </w:rPr>
      </w:pPr>
    </w:p>
    <w:p w14:paraId="6F79AE20" w14:textId="77777777" w:rsidR="005173BB" w:rsidRDefault="005173BB" w:rsidP="005173BB">
      <w:pPr>
        <w:rPr>
          <w:lang w:val="en-US"/>
        </w:rPr>
      </w:pPr>
    </w:p>
    <w:p w14:paraId="2A19E787" w14:textId="77777777" w:rsidR="005173BB" w:rsidRDefault="005173BB" w:rsidP="005173BB">
      <w:pPr>
        <w:tabs>
          <w:tab w:val="left" w:pos="9626"/>
        </w:tabs>
        <w:rPr>
          <w:lang w:val="en-US"/>
        </w:rPr>
      </w:pPr>
      <w:r>
        <w:rPr>
          <w:lang w:val="en-US"/>
        </w:rPr>
        <w:tab/>
      </w:r>
    </w:p>
    <w:p w14:paraId="3ED40115" w14:textId="77777777" w:rsidR="005173BB" w:rsidRDefault="005173BB" w:rsidP="005173BB">
      <w:pPr>
        <w:rPr>
          <w:lang w:val="en-US"/>
        </w:rPr>
      </w:pPr>
    </w:p>
    <w:p w14:paraId="663A50B4" w14:textId="77777777" w:rsidR="005173BB" w:rsidRDefault="005173BB" w:rsidP="005173BB">
      <w:pPr>
        <w:rPr>
          <w:lang w:val="en-US"/>
        </w:rPr>
      </w:pPr>
    </w:p>
    <w:p w14:paraId="6636ED91" w14:textId="77777777" w:rsidR="005173BB" w:rsidRDefault="005173BB" w:rsidP="005173BB">
      <w:pPr>
        <w:rPr>
          <w:lang w:val="en-US"/>
        </w:rPr>
      </w:pPr>
    </w:p>
    <w:p w14:paraId="6444CE42" w14:textId="77777777" w:rsidR="005173BB" w:rsidRDefault="005173BB" w:rsidP="005173BB">
      <w:pPr>
        <w:rPr>
          <w:lang w:val="en-US"/>
        </w:rPr>
      </w:pPr>
    </w:p>
    <w:p w14:paraId="3EA99A1C" w14:textId="77777777" w:rsidR="005173BB" w:rsidRDefault="005173BB" w:rsidP="005173BB">
      <w:pPr>
        <w:rPr>
          <w:lang w:val="en-US"/>
        </w:rPr>
      </w:pPr>
    </w:p>
    <w:p w14:paraId="0B89FFBD" w14:textId="77777777" w:rsidR="005173BB" w:rsidRDefault="005173BB" w:rsidP="005173BB">
      <w:pPr>
        <w:rPr>
          <w:lang w:val="en-US"/>
        </w:rPr>
      </w:pPr>
    </w:p>
    <w:p w14:paraId="4824A7C9" w14:textId="77777777" w:rsidR="005173BB" w:rsidRDefault="005173BB" w:rsidP="005173BB">
      <w:pPr>
        <w:rPr>
          <w:lang w:val="en-US"/>
        </w:rPr>
      </w:pPr>
    </w:p>
    <w:p w14:paraId="4145B7B7" w14:textId="77777777" w:rsidR="005173BB" w:rsidRDefault="005173BB" w:rsidP="005173BB">
      <w:pPr>
        <w:rPr>
          <w:sz w:val="24"/>
          <w:lang w:val="en-US"/>
        </w:rPr>
      </w:pPr>
    </w:p>
    <w:p w14:paraId="2AA5BE53" w14:textId="77777777" w:rsidR="005173BB" w:rsidRDefault="005173BB" w:rsidP="005173BB">
      <w:pPr>
        <w:rPr>
          <w:sz w:val="24"/>
          <w:lang w:val="en-US"/>
        </w:rPr>
      </w:pPr>
    </w:p>
    <w:p w14:paraId="33833DA3" w14:textId="77777777" w:rsidR="005173BB" w:rsidRDefault="005173BB" w:rsidP="005173BB">
      <w:pPr>
        <w:rPr>
          <w:sz w:val="24"/>
          <w:lang w:val="en-US"/>
        </w:rPr>
      </w:pPr>
    </w:p>
    <w:p w14:paraId="4CE054A1" w14:textId="77777777" w:rsidR="005173BB" w:rsidRDefault="005173BB" w:rsidP="005173BB">
      <w:pPr>
        <w:rPr>
          <w:sz w:val="24"/>
          <w:lang w:val="en-US"/>
        </w:rPr>
      </w:pPr>
    </w:p>
    <w:p w14:paraId="551B8A17" w14:textId="77777777" w:rsidR="005173BB" w:rsidRDefault="005173BB" w:rsidP="005173BB">
      <w:pPr>
        <w:jc w:val="both"/>
        <w:rPr>
          <w:sz w:val="24"/>
          <w:szCs w:val="24"/>
          <w:lang w:val="en-US"/>
        </w:rPr>
      </w:pPr>
      <w:r>
        <w:rPr>
          <w:sz w:val="24"/>
          <w:szCs w:val="24"/>
          <w:lang w:val="en-US"/>
        </w:rPr>
        <w:t xml:space="preserve">Figure S2: Adjusted all-cause and specific-cause of mortality risk stratified by age using parametric g-formula with pooled logistic regression models. The solid line represents the percentile 5 (0.70 </w:t>
      </w:r>
      <w:r>
        <w:rPr>
          <w:sz w:val="24"/>
          <w:szCs w:val="24"/>
        </w:rPr>
        <w:t>μ</w:t>
      </w:r>
      <w:r>
        <w:rPr>
          <w:sz w:val="24"/>
          <w:szCs w:val="24"/>
          <w:lang w:val="en-US"/>
        </w:rPr>
        <w:t xml:space="preserve">g/dL for lead and 0.04 </w:t>
      </w:r>
      <w:r>
        <w:rPr>
          <w:rFonts w:eastAsia="Gungsuh"/>
          <w:sz w:val="24"/>
          <w:szCs w:val="24"/>
        </w:rPr>
        <w:t>μ</w:t>
      </w:r>
      <w:r>
        <w:rPr>
          <w:rFonts w:eastAsia="Gungsuh"/>
          <w:sz w:val="24"/>
          <w:szCs w:val="24"/>
          <w:lang w:val="en-US"/>
        </w:rPr>
        <w:t>g/g</w:t>
      </w:r>
      <w:r>
        <w:rPr>
          <w:sz w:val="24"/>
          <w:szCs w:val="24"/>
          <w:lang w:val="en-US"/>
        </w:rPr>
        <w:t xml:space="preserve"> for cadmium) and the dashed lines the percentile 95 (9.70 </w:t>
      </w:r>
      <w:r>
        <w:rPr>
          <w:sz w:val="24"/>
          <w:szCs w:val="24"/>
        </w:rPr>
        <w:t>μ</w:t>
      </w:r>
      <w:r>
        <w:rPr>
          <w:sz w:val="24"/>
          <w:szCs w:val="24"/>
          <w:lang w:val="en-US"/>
        </w:rPr>
        <w:t xml:space="preserve">g/dL for lead and 1.63 </w:t>
      </w:r>
      <w:r>
        <w:rPr>
          <w:rFonts w:eastAsia="Gungsuh"/>
          <w:sz w:val="24"/>
          <w:szCs w:val="24"/>
        </w:rPr>
        <w:t>μ</w:t>
      </w:r>
      <w:r>
        <w:rPr>
          <w:rFonts w:eastAsia="Gungsuh"/>
          <w:sz w:val="24"/>
          <w:szCs w:val="24"/>
          <w:lang w:val="en-US"/>
        </w:rPr>
        <w:t xml:space="preserve">g/g </w:t>
      </w:r>
      <w:r>
        <w:rPr>
          <w:sz w:val="24"/>
          <w:szCs w:val="24"/>
          <w:lang w:val="en-US"/>
        </w:rPr>
        <w:t>for cadmium). Robust 95% confidence intervals (CIs) for each exposure category estimated by bootstrapping (in the pooled logistic regression model</w:t>
      </w:r>
      <w:r>
        <w:rPr>
          <w:b/>
          <w:bCs/>
          <w:sz w:val="24"/>
          <w:szCs w:val="24"/>
          <w:lang w:val="en-US"/>
        </w:rPr>
        <w:t>)</w:t>
      </w:r>
      <w:r>
        <w:rPr>
          <w:sz w:val="24"/>
          <w:szCs w:val="24"/>
          <w:lang w:val="en-US"/>
        </w:rPr>
        <w:t> are presented in Table S1.</w:t>
      </w:r>
    </w:p>
    <w:p w14:paraId="1C8D79E3" w14:textId="77777777" w:rsidR="005173BB" w:rsidRDefault="005173BB" w:rsidP="005173BB">
      <w:pPr>
        <w:rPr>
          <w:sz w:val="24"/>
          <w:lang w:val="en-US"/>
        </w:rPr>
      </w:pPr>
    </w:p>
    <w:p w14:paraId="7A89B1A8" w14:textId="77777777" w:rsidR="005173BB" w:rsidRDefault="005173BB" w:rsidP="005173BB">
      <w:pPr>
        <w:autoSpaceDE/>
        <w:autoSpaceDN/>
        <w:rPr>
          <w:lang w:val="en-US"/>
        </w:rPr>
        <w:sectPr w:rsidR="005173BB">
          <w:pgSz w:w="11905" w:h="16837"/>
          <w:pgMar w:top="360" w:right="360" w:bottom="360" w:left="360" w:header="720" w:footer="360" w:gutter="0"/>
          <w:cols w:space="720"/>
        </w:sectPr>
      </w:pPr>
    </w:p>
    <w:p w14:paraId="0F718314" w14:textId="77777777" w:rsidR="005173BB" w:rsidRDefault="005173BB" w:rsidP="005173BB">
      <w:pPr>
        <w:rPr>
          <w:sz w:val="24"/>
          <w:vertAlign w:val="superscript"/>
          <w:lang w:val="en-US"/>
        </w:rPr>
      </w:pPr>
      <w:r>
        <w:rPr>
          <w:sz w:val="24"/>
          <w:lang w:val="en-US"/>
        </w:rPr>
        <w:lastRenderedPageBreak/>
        <w:t xml:space="preserve">Table S1: Adjusted all-cause and specific-cause of mortality risk ratio and risk difference at the end of follow-up stratified by age using parametric g-formula with pooled logistic regression </w:t>
      </w:r>
      <w:proofErr w:type="spellStart"/>
      <w:r>
        <w:rPr>
          <w:sz w:val="24"/>
          <w:lang w:val="en-US"/>
        </w:rPr>
        <w:t>models</w:t>
      </w:r>
      <w:r>
        <w:rPr>
          <w:sz w:val="24"/>
          <w:vertAlign w:val="superscript"/>
          <w:lang w:val="en-US"/>
        </w:rPr>
        <w:t>a</w:t>
      </w:r>
      <w:proofErr w:type="spellEnd"/>
    </w:p>
    <w:p w14:paraId="10BE5249" w14:textId="77777777" w:rsidR="005173BB" w:rsidRDefault="005173BB" w:rsidP="005173BB">
      <w:pPr>
        <w:rPr>
          <w:sz w:val="24"/>
          <w:lang w:val="en-US"/>
        </w:rPr>
      </w:pPr>
    </w:p>
    <w:tbl>
      <w:tblPr>
        <w:tblW w:w="14718" w:type="dxa"/>
        <w:jc w:val="center"/>
        <w:tblLook w:val="04A0" w:firstRow="1" w:lastRow="0" w:firstColumn="1" w:lastColumn="0" w:noHBand="0" w:noVBand="1"/>
      </w:tblPr>
      <w:tblGrid>
        <w:gridCol w:w="4280"/>
        <w:gridCol w:w="2511"/>
        <w:gridCol w:w="2511"/>
        <w:gridCol w:w="394"/>
        <w:gridCol w:w="2511"/>
        <w:gridCol w:w="2511"/>
      </w:tblGrid>
      <w:tr w:rsidR="005173BB" w14:paraId="24A1F748" w14:textId="77777777" w:rsidTr="005173BB">
        <w:trPr>
          <w:trHeight w:val="332"/>
          <w:jc w:val="center"/>
        </w:trPr>
        <w:tc>
          <w:tcPr>
            <w:tcW w:w="4280" w:type="dxa"/>
            <w:tcBorders>
              <w:top w:val="single" w:sz="4" w:space="0" w:color="auto"/>
              <w:left w:val="nil"/>
              <w:bottom w:val="single" w:sz="4" w:space="0" w:color="auto"/>
              <w:right w:val="nil"/>
            </w:tcBorders>
            <w:noWrap/>
            <w:vAlign w:val="bottom"/>
            <w:hideMark/>
          </w:tcPr>
          <w:p w14:paraId="706780F3" w14:textId="77777777" w:rsidR="005173BB" w:rsidRDefault="005173BB">
            <w:pPr>
              <w:autoSpaceDE/>
              <w:rPr>
                <w:rFonts w:ascii="Calibri" w:hAnsi="Calibri" w:cs="Calibri"/>
                <w:color w:val="000000"/>
                <w:sz w:val="22"/>
                <w:szCs w:val="22"/>
                <w:lang w:val="en-US" w:eastAsia="en-US"/>
              </w:rPr>
            </w:pPr>
            <w:r>
              <w:rPr>
                <w:rFonts w:ascii="Calibri" w:hAnsi="Calibri" w:cs="Calibri"/>
                <w:color w:val="000000"/>
                <w:sz w:val="22"/>
                <w:szCs w:val="22"/>
                <w:lang w:val="en-US" w:eastAsia="en-US"/>
              </w:rPr>
              <w:t> </w:t>
            </w:r>
          </w:p>
        </w:tc>
        <w:tc>
          <w:tcPr>
            <w:tcW w:w="5022" w:type="dxa"/>
            <w:gridSpan w:val="2"/>
            <w:tcBorders>
              <w:top w:val="single" w:sz="4" w:space="0" w:color="auto"/>
              <w:left w:val="nil"/>
              <w:bottom w:val="single" w:sz="4" w:space="0" w:color="auto"/>
              <w:right w:val="nil"/>
            </w:tcBorders>
            <w:noWrap/>
            <w:vAlign w:val="bottom"/>
            <w:hideMark/>
          </w:tcPr>
          <w:p w14:paraId="4DCAE097" w14:textId="77777777" w:rsidR="005173BB" w:rsidRDefault="005173BB">
            <w:pPr>
              <w:autoSpaceDE/>
              <w:jc w:val="center"/>
              <w:rPr>
                <w:rFonts w:ascii="Calibri" w:hAnsi="Calibri" w:cs="Calibri"/>
                <w:b/>
                <w:color w:val="000000"/>
                <w:sz w:val="22"/>
                <w:szCs w:val="22"/>
                <w:lang w:val="en-US" w:eastAsia="en-US"/>
              </w:rPr>
            </w:pPr>
            <w:r>
              <w:rPr>
                <w:rFonts w:ascii="Calibri" w:hAnsi="Calibri" w:cs="Calibri"/>
                <w:b/>
                <w:color w:val="000000"/>
                <w:sz w:val="22"/>
                <w:szCs w:val="22"/>
                <w:lang w:val="en-US" w:eastAsia="en-US"/>
              </w:rPr>
              <w:t xml:space="preserve">Blood </w:t>
            </w:r>
            <w:proofErr w:type="gramStart"/>
            <w:r>
              <w:rPr>
                <w:rFonts w:ascii="Calibri" w:hAnsi="Calibri" w:cs="Calibri"/>
                <w:b/>
                <w:color w:val="000000"/>
                <w:sz w:val="22"/>
                <w:szCs w:val="22"/>
                <w:lang w:val="en-US" w:eastAsia="en-US"/>
              </w:rPr>
              <w:t>lead</w:t>
            </w:r>
            <w:proofErr w:type="gramEnd"/>
          </w:p>
        </w:tc>
        <w:tc>
          <w:tcPr>
            <w:tcW w:w="394" w:type="dxa"/>
            <w:tcBorders>
              <w:top w:val="single" w:sz="4" w:space="0" w:color="auto"/>
              <w:left w:val="nil"/>
              <w:bottom w:val="single" w:sz="8" w:space="0" w:color="CFD5E4"/>
              <w:right w:val="nil"/>
            </w:tcBorders>
            <w:noWrap/>
            <w:vAlign w:val="bottom"/>
            <w:hideMark/>
          </w:tcPr>
          <w:p w14:paraId="7B16D380" w14:textId="77777777" w:rsidR="005173BB" w:rsidRDefault="005173BB">
            <w:pPr>
              <w:autoSpaceDE/>
              <w:jc w:val="center"/>
              <w:rPr>
                <w:rFonts w:ascii="Calibri" w:hAnsi="Calibri" w:cs="Calibri"/>
                <w:color w:val="000000"/>
                <w:sz w:val="22"/>
                <w:szCs w:val="22"/>
                <w:lang w:val="en-US" w:eastAsia="en-US"/>
              </w:rPr>
            </w:pPr>
            <w:r>
              <w:rPr>
                <w:rFonts w:ascii="Calibri" w:hAnsi="Calibri" w:cs="Calibri"/>
                <w:color w:val="000000"/>
                <w:sz w:val="22"/>
                <w:szCs w:val="22"/>
                <w:lang w:val="en-US" w:eastAsia="en-US"/>
              </w:rPr>
              <w:t> </w:t>
            </w:r>
          </w:p>
        </w:tc>
        <w:tc>
          <w:tcPr>
            <w:tcW w:w="5022" w:type="dxa"/>
            <w:gridSpan w:val="2"/>
            <w:tcBorders>
              <w:top w:val="single" w:sz="4" w:space="0" w:color="auto"/>
              <w:left w:val="nil"/>
              <w:bottom w:val="single" w:sz="4" w:space="0" w:color="auto"/>
              <w:right w:val="nil"/>
            </w:tcBorders>
            <w:noWrap/>
            <w:vAlign w:val="bottom"/>
            <w:hideMark/>
          </w:tcPr>
          <w:p w14:paraId="35BCBCC1" w14:textId="77777777" w:rsidR="005173BB" w:rsidRDefault="005173BB">
            <w:pPr>
              <w:autoSpaceDE/>
              <w:jc w:val="center"/>
              <w:rPr>
                <w:rFonts w:ascii="Calibri" w:hAnsi="Calibri" w:cs="Calibri"/>
                <w:b/>
                <w:color w:val="000000"/>
                <w:sz w:val="22"/>
                <w:szCs w:val="22"/>
                <w:lang w:val="en-US" w:eastAsia="en-US"/>
              </w:rPr>
            </w:pPr>
            <w:r>
              <w:rPr>
                <w:rFonts w:ascii="Calibri" w:hAnsi="Calibri" w:cs="Calibri"/>
                <w:b/>
                <w:color w:val="000000"/>
                <w:sz w:val="22"/>
                <w:szCs w:val="22"/>
                <w:lang w:val="en-US" w:eastAsia="en-US"/>
              </w:rPr>
              <w:t xml:space="preserve">Urinary cadmium </w:t>
            </w:r>
          </w:p>
        </w:tc>
      </w:tr>
      <w:tr w:rsidR="005173BB" w14:paraId="347F2318" w14:textId="77777777" w:rsidTr="005173BB">
        <w:trPr>
          <w:trHeight w:val="56"/>
          <w:jc w:val="center"/>
        </w:trPr>
        <w:tc>
          <w:tcPr>
            <w:tcW w:w="4280" w:type="dxa"/>
            <w:vAlign w:val="center"/>
            <w:hideMark/>
          </w:tcPr>
          <w:p w14:paraId="74983D59" w14:textId="77777777" w:rsidR="005173BB" w:rsidRDefault="005173BB">
            <w:pPr>
              <w:rPr>
                <w:rFonts w:ascii="Calibri" w:hAnsi="Calibri" w:cs="Calibri"/>
                <w:b/>
                <w:color w:val="000000"/>
                <w:sz w:val="22"/>
                <w:szCs w:val="22"/>
                <w:lang w:val="en-US" w:eastAsia="en-US"/>
              </w:rPr>
            </w:pPr>
          </w:p>
        </w:tc>
        <w:tc>
          <w:tcPr>
            <w:tcW w:w="5022" w:type="dxa"/>
            <w:gridSpan w:val="2"/>
            <w:tcBorders>
              <w:top w:val="single" w:sz="4" w:space="0" w:color="auto"/>
              <w:left w:val="nil"/>
              <w:bottom w:val="single" w:sz="4" w:space="0" w:color="000000"/>
              <w:right w:val="nil"/>
            </w:tcBorders>
            <w:vAlign w:val="center"/>
            <w:hideMark/>
          </w:tcPr>
          <w:p w14:paraId="0F768861"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Baseline age</w:t>
            </w:r>
          </w:p>
        </w:tc>
        <w:tc>
          <w:tcPr>
            <w:tcW w:w="394" w:type="dxa"/>
            <w:tcBorders>
              <w:top w:val="nil"/>
              <w:left w:val="nil"/>
              <w:bottom w:val="single" w:sz="8" w:space="0" w:color="CFD5E4"/>
              <w:right w:val="nil"/>
            </w:tcBorders>
            <w:vAlign w:val="center"/>
            <w:hideMark/>
          </w:tcPr>
          <w:p w14:paraId="515AAD41"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 </w:t>
            </w:r>
          </w:p>
        </w:tc>
        <w:tc>
          <w:tcPr>
            <w:tcW w:w="5022" w:type="dxa"/>
            <w:gridSpan w:val="2"/>
            <w:tcBorders>
              <w:top w:val="nil"/>
              <w:left w:val="nil"/>
              <w:bottom w:val="single" w:sz="4" w:space="0" w:color="auto"/>
              <w:right w:val="nil"/>
            </w:tcBorders>
            <w:vAlign w:val="center"/>
            <w:hideMark/>
          </w:tcPr>
          <w:p w14:paraId="1EB58369"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Baseline age</w:t>
            </w:r>
          </w:p>
        </w:tc>
      </w:tr>
      <w:tr w:rsidR="005173BB" w14:paraId="0D3137F9" w14:textId="77777777" w:rsidTr="005173BB">
        <w:trPr>
          <w:trHeight w:val="290"/>
          <w:jc w:val="center"/>
        </w:trPr>
        <w:tc>
          <w:tcPr>
            <w:tcW w:w="4280" w:type="dxa"/>
            <w:tcBorders>
              <w:top w:val="nil"/>
              <w:left w:val="nil"/>
              <w:bottom w:val="single" w:sz="4" w:space="0" w:color="auto"/>
              <w:right w:val="nil"/>
            </w:tcBorders>
            <w:vAlign w:val="center"/>
            <w:hideMark/>
          </w:tcPr>
          <w:p w14:paraId="0C72224B" w14:textId="77777777" w:rsidR="005173BB" w:rsidRDefault="005173BB">
            <w:pPr>
              <w:autoSpaceDE/>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 Outcomes</w:t>
            </w:r>
          </w:p>
        </w:tc>
        <w:tc>
          <w:tcPr>
            <w:tcW w:w="2511" w:type="dxa"/>
            <w:tcBorders>
              <w:top w:val="nil"/>
              <w:left w:val="nil"/>
              <w:bottom w:val="single" w:sz="4" w:space="0" w:color="auto"/>
              <w:right w:val="nil"/>
            </w:tcBorders>
            <w:vAlign w:val="center"/>
            <w:hideMark/>
          </w:tcPr>
          <w:p w14:paraId="119A512B"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&lt; 50 years</w:t>
            </w:r>
          </w:p>
        </w:tc>
        <w:tc>
          <w:tcPr>
            <w:tcW w:w="2511" w:type="dxa"/>
            <w:tcBorders>
              <w:top w:val="nil"/>
              <w:left w:val="nil"/>
              <w:bottom w:val="single" w:sz="4" w:space="0" w:color="auto"/>
              <w:right w:val="nil"/>
            </w:tcBorders>
            <w:vAlign w:val="center"/>
            <w:hideMark/>
          </w:tcPr>
          <w:p w14:paraId="6828A1C1"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&gt;= 50 years</w:t>
            </w:r>
          </w:p>
        </w:tc>
        <w:tc>
          <w:tcPr>
            <w:tcW w:w="394" w:type="dxa"/>
            <w:tcBorders>
              <w:top w:val="nil"/>
              <w:left w:val="nil"/>
              <w:bottom w:val="single" w:sz="4" w:space="0" w:color="auto"/>
              <w:right w:val="nil"/>
            </w:tcBorders>
            <w:vAlign w:val="center"/>
            <w:hideMark/>
          </w:tcPr>
          <w:p w14:paraId="79D25FB9"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 </w:t>
            </w:r>
          </w:p>
        </w:tc>
        <w:tc>
          <w:tcPr>
            <w:tcW w:w="2511" w:type="dxa"/>
            <w:tcBorders>
              <w:top w:val="single" w:sz="4" w:space="0" w:color="auto"/>
              <w:left w:val="nil"/>
              <w:bottom w:val="single" w:sz="4" w:space="0" w:color="auto"/>
              <w:right w:val="nil"/>
            </w:tcBorders>
            <w:vAlign w:val="center"/>
            <w:hideMark/>
          </w:tcPr>
          <w:p w14:paraId="16AF2AA7"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&lt; 50 years</w:t>
            </w:r>
          </w:p>
        </w:tc>
        <w:tc>
          <w:tcPr>
            <w:tcW w:w="2511" w:type="dxa"/>
            <w:tcBorders>
              <w:top w:val="single" w:sz="4" w:space="0" w:color="auto"/>
              <w:left w:val="nil"/>
              <w:bottom w:val="single" w:sz="4" w:space="0" w:color="auto"/>
              <w:right w:val="nil"/>
            </w:tcBorders>
            <w:vAlign w:val="center"/>
            <w:hideMark/>
          </w:tcPr>
          <w:p w14:paraId="5904189E"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&gt;= 50 years</w:t>
            </w:r>
          </w:p>
        </w:tc>
      </w:tr>
      <w:tr w:rsidR="005173BB" w14:paraId="14108ABE" w14:textId="77777777" w:rsidTr="005173BB">
        <w:trPr>
          <w:trHeight w:val="300"/>
          <w:jc w:val="center"/>
        </w:trPr>
        <w:tc>
          <w:tcPr>
            <w:tcW w:w="4280" w:type="dxa"/>
            <w:shd w:val="clear" w:color="auto" w:fill="FFFFFF"/>
            <w:hideMark/>
          </w:tcPr>
          <w:p w14:paraId="343D0561" w14:textId="77777777" w:rsidR="005173BB" w:rsidRDefault="005173BB">
            <w:pPr>
              <w:autoSpaceDE/>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All-cause mortality </w:t>
            </w:r>
          </w:p>
        </w:tc>
        <w:tc>
          <w:tcPr>
            <w:tcW w:w="2511" w:type="dxa"/>
            <w:shd w:val="clear" w:color="auto" w:fill="FFFFFF"/>
          </w:tcPr>
          <w:p w14:paraId="24041D60"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tcPr>
          <w:p w14:paraId="4CE7BC1F" w14:textId="77777777" w:rsidR="005173BB" w:rsidRDefault="005173BB">
            <w:pPr>
              <w:autoSpaceDE/>
              <w:jc w:val="center"/>
              <w:rPr>
                <w:rFonts w:ascii="Inherit" w:hAnsi="Inherit" w:cs="Calibri"/>
                <w:color w:val="FF0000"/>
                <w:sz w:val="22"/>
                <w:szCs w:val="22"/>
                <w:lang w:val="en-US" w:eastAsia="en-US"/>
              </w:rPr>
            </w:pPr>
          </w:p>
        </w:tc>
        <w:tc>
          <w:tcPr>
            <w:tcW w:w="394" w:type="dxa"/>
            <w:shd w:val="clear" w:color="auto" w:fill="FFFFFF"/>
          </w:tcPr>
          <w:p w14:paraId="7128DFB4" w14:textId="77777777" w:rsidR="005173BB" w:rsidRDefault="005173BB">
            <w:pPr>
              <w:autoSpaceDE/>
              <w:jc w:val="center"/>
              <w:rPr>
                <w:rFonts w:ascii="Inherit" w:hAnsi="Inherit" w:cs="Calibri"/>
                <w:color w:val="000000"/>
                <w:sz w:val="22"/>
                <w:szCs w:val="22"/>
                <w:lang w:val="en-US" w:eastAsia="en-US"/>
              </w:rPr>
            </w:pPr>
          </w:p>
        </w:tc>
        <w:tc>
          <w:tcPr>
            <w:tcW w:w="2511" w:type="dxa"/>
            <w:shd w:val="clear" w:color="auto" w:fill="FFFFFF"/>
          </w:tcPr>
          <w:p w14:paraId="481AF28D"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tcPr>
          <w:p w14:paraId="4CD7F64B" w14:textId="77777777" w:rsidR="005173BB" w:rsidRDefault="005173BB">
            <w:pPr>
              <w:autoSpaceDE/>
              <w:jc w:val="center"/>
              <w:rPr>
                <w:rFonts w:ascii="Inherit" w:hAnsi="Inherit" w:cs="Calibri"/>
                <w:color w:val="FF0000"/>
                <w:sz w:val="22"/>
                <w:szCs w:val="22"/>
                <w:lang w:val="en-US" w:eastAsia="en-US"/>
              </w:rPr>
            </w:pPr>
          </w:p>
        </w:tc>
      </w:tr>
      <w:tr w:rsidR="005173BB" w14:paraId="611DC923" w14:textId="77777777" w:rsidTr="005173BB">
        <w:trPr>
          <w:trHeight w:val="300"/>
          <w:jc w:val="center"/>
        </w:trPr>
        <w:tc>
          <w:tcPr>
            <w:tcW w:w="4280" w:type="dxa"/>
            <w:shd w:val="clear" w:color="auto" w:fill="FFFFFF"/>
            <w:hideMark/>
          </w:tcPr>
          <w:p w14:paraId="59A7594A"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 xml:space="preserve">Number of events (%) among low level </w:t>
            </w:r>
          </w:p>
        </w:tc>
        <w:tc>
          <w:tcPr>
            <w:tcW w:w="2511" w:type="dxa"/>
            <w:shd w:val="clear" w:color="auto" w:fill="FFFFFF"/>
            <w:hideMark/>
          </w:tcPr>
          <w:p w14:paraId="0419438E" w14:textId="77777777" w:rsidR="005173BB" w:rsidRDefault="005173BB">
            <w:pPr>
              <w:autoSpaceDE/>
              <w:jc w:val="center"/>
              <w:rPr>
                <w:rFonts w:ascii="Inherit" w:hAnsi="Inherit" w:cs="Calibri"/>
                <w:sz w:val="22"/>
                <w:szCs w:val="22"/>
                <w:lang w:val="en-US" w:eastAsia="en-US"/>
              </w:rPr>
            </w:pPr>
            <w:r>
              <w:rPr>
                <w:sz w:val="24"/>
                <w:szCs w:val="24"/>
              </w:rPr>
              <w:t>59/944 (6.3%) </w:t>
            </w:r>
          </w:p>
        </w:tc>
        <w:tc>
          <w:tcPr>
            <w:tcW w:w="2511" w:type="dxa"/>
            <w:shd w:val="clear" w:color="auto" w:fill="FFFFFF"/>
            <w:hideMark/>
          </w:tcPr>
          <w:p w14:paraId="58413FA1" w14:textId="77777777" w:rsidR="005173BB" w:rsidRDefault="005173BB">
            <w:pPr>
              <w:autoSpaceDE/>
              <w:jc w:val="center"/>
              <w:rPr>
                <w:rFonts w:ascii="Inherit" w:hAnsi="Inherit" w:cs="Calibri"/>
                <w:sz w:val="22"/>
                <w:szCs w:val="22"/>
                <w:lang w:val="en-US" w:eastAsia="en-US"/>
              </w:rPr>
            </w:pPr>
            <w:r>
              <w:rPr>
                <w:sz w:val="24"/>
                <w:szCs w:val="24"/>
              </w:rPr>
              <w:t>118/273 (43.2%) </w:t>
            </w:r>
          </w:p>
        </w:tc>
        <w:tc>
          <w:tcPr>
            <w:tcW w:w="394" w:type="dxa"/>
            <w:shd w:val="clear" w:color="auto" w:fill="FFFFFF"/>
          </w:tcPr>
          <w:p w14:paraId="5A32E14C"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hideMark/>
          </w:tcPr>
          <w:p w14:paraId="6CFA0A55" w14:textId="77777777" w:rsidR="005173BB" w:rsidRDefault="005173BB">
            <w:pPr>
              <w:autoSpaceDE/>
              <w:jc w:val="center"/>
              <w:rPr>
                <w:rFonts w:ascii="Inherit" w:hAnsi="Inherit" w:cs="Calibri"/>
                <w:sz w:val="22"/>
                <w:szCs w:val="22"/>
                <w:lang w:val="en-US" w:eastAsia="en-US"/>
              </w:rPr>
            </w:pPr>
            <w:r>
              <w:rPr>
                <w:sz w:val="24"/>
                <w:szCs w:val="24"/>
              </w:rPr>
              <w:t>60/542 (11.1%) </w:t>
            </w:r>
          </w:p>
        </w:tc>
        <w:tc>
          <w:tcPr>
            <w:tcW w:w="2511" w:type="dxa"/>
            <w:shd w:val="clear" w:color="auto" w:fill="FFFFFF"/>
            <w:hideMark/>
          </w:tcPr>
          <w:p w14:paraId="4F6B4408" w14:textId="77777777" w:rsidR="005173BB" w:rsidRDefault="005173BB">
            <w:pPr>
              <w:autoSpaceDE/>
              <w:jc w:val="center"/>
              <w:rPr>
                <w:rFonts w:ascii="Inherit" w:hAnsi="Inherit" w:cs="Calibri"/>
                <w:sz w:val="22"/>
                <w:szCs w:val="22"/>
                <w:lang w:val="en-US" w:eastAsia="en-US"/>
              </w:rPr>
            </w:pPr>
            <w:r>
              <w:rPr>
                <w:sz w:val="24"/>
                <w:szCs w:val="24"/>
              </w:rPr>
              <w:t>62/140 (44.3%) </w:t>
            </w:r>
          </w:p>
        </w:tc>
      </w:tr>
      <w:tr w:rsidR="005173BB" w14:paraId="4D379576" w14:textId="77777777" w:rsidTr="005173BB">
        <w:trPr>
          <w:trHeight w:val="300"/>
          <w:jc w:val="center"/>
        </w:trPr>
        <w:tc>
          <w:tcPr>
            <w:tcW w:w="4280" w:type="dxa"/>
            <w:shd w:val="clear" w:color="auto" w:fill="FFFFFF"/>
            <w:hideMark/>
          </w:tcPr>
          <w:p w14:paraId="4EBA2293"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Number of events (%) among high level</w:t>
            </w:r>
          </w:p>
        </w:tc>
        <w:tc>
          <w:tcPr>
            <w:tcW w:w="2511" w:type="dxa"/>
            <w:shd w:val="clear" w:color="auto" w:fill="FFFFFF"/>
            <w:hideMark/>
          </w:tcPr>
          <w:p w14:paraId="55CD3998" w14:textId="77777777" w:rsidR="005173BB" w:rsidRDefault="005173BB">
            <w:pPr>
              <w:autoSpaceDE/>
              <w:jc w:val="center"/>
              <w:rPr>
                <w:rFonts w:ascii="Inherit" w:hAnsi="Inherit" w:cs="Calibri"/>
                <w:sz w:val="22"/>
                <w:szCs w:val="22"/>
                <w:lang w:val="en-US" w:eastAsia="en-US"/>
              </w:rPr>
            </w:pPr>
            <w:r>
              <w:rPr>
                <w:sz w:val="24"/>
                <w:szCs w:val="24"/>
              </w:rPr>
              <w:t>1082/7851 (13.8%) </w:t>
            </w:r>
          </w:p>
        </w:tc>
        <w:tc>
          <w:tcPr>
            <w:tcW w:w="2511" w:type="dxa"/>
            <w:shd w:val="clear" w:color="auto" w:fill="FFFFFF"/>
            <w:hideMark/>
          </w:tcPr>
          <w:p w14:paraId="3D274E0A" w14:textId="77777777" w:rsidR="005173BB" w:rsidRDefault="005173BB">
            <w:pPr>
              <w:autoSpaceDE/>
              <w:jc w:val="center"/>
              <w:rPr>
                <w:rFonts w:ascii="Inherit" w:hAnsi="Inherit" w:cs="Calibri"/>
                <w:sz w:val="22"/>
                <w:szCs w:val="22"/>
                <w:lang w:val="en-US" w:eastAsia="en-US"/>
              </w:rPr>
            </w:pPr>
            <w:r>
              <w:rPr>
                <w:sz w:val="24"/>
                <w:szCs w:val="24"/>
              </w:rPr>
              <w:t>3685/5752 (64.1%) </w:t>
            </w:r>
          </w:p>
        </w:tc>
        <w:tc>
          <w:tcPr>
            <w:tcW w:w="394" w:type="dxa"/>
            <w:shd w:val="clear" w:color="auto" w:fill="FFFFFF"/>
          </w:tcPr>
          <w:p w14:paraId="27E9BCF6"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hideMark/>
          </w:tcPr>
          <w:p w14:paraId="4D02EF5A" w14:textId="77777777" w:rsidR="005173BB" w:rsidRDefault="005173BB">
            <w:pPr>
              <w:autoSpaceDE/>
              <w:jc w:val="center"/>
              <w:rPr>
                <w:rFonts w:ascii="Inherit" w:hAnsi="Inherit" w:cs="Calibri"/>
                <w:sz w:val="22"/>
                <w:szCs w:val="22"/>
                <w:lang w:val="en-US" w:eastAsia="en-US"/>
              </w:rPr>
            </w:pPr>
            <w:r>
              <w:rPr>
                <w:sz w:val="24"/>
                <w:szCs w:val="24"/>
              </w:rPr>
              <w:t>1104/8006 (13.8%) </w:t>
            </w:r>
          </w:p>
        </w:tc>
        <w:tc>
          <w:tcPr>
            <w:tcW w:w="2511" w:type="dxa"/>
            <w:shd w:val="clear" w:color="auto" w:fill="FFFFFF"/>
            <w:hideMark/>
          </w:tcPr>
          <w:p w14:paraId="04A51C33" w14:textId="77777777" w:rsidR="005173BB" w:rsidRDefault="005173BB">
            <w:pPr>
              <w:autoSpaceDE/>
              <w:jc w:val="center"/>
              <w:rPr>
                <w:rFonts w:ascii="Inherit" w:hAnsi="Inherit" w:cs="Calibri"/>
                <w:sz w:val="22"/>
                <w:szCs w:val="22"/>
                <w:lang w:val="en-US" w:eastAsia="en-US"/>
              </w:rPr>
            </w:pPr>
            <w:r>
              <w:rPr>
                <w:sz w:val="24"/>
                <w:szCs w:val="24"/>
              </w:rPr>
              <w:t>3541/5592 (63.3%) </w:t>
            </w:r>
          </w:p>
        </w:tc>
      </w:tr>
      <w:tr w:rsidR="005173BB" w14:paraId="4BFEB3B8" w14:textId="77777777" w:rsidTr="005173BB">
        <w:trPr>
          <w:trHeight w:val="340"/>
          <w:jc w:val="center"/>
        </w:trPr>
        <w:tc>
          <w:tcPr>
            <w:tcW w:w="4280" w:type="dxa"/>
            <w:shd w:val="clear" w:color="auto" w:fill="FFFFFF"/>
            <w:vAlign w:val="center"/>
            <w:hideMark/>
          </w:tcPr>
          <w:p w14:paraId="686DADE6"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ratio (95% CI)</w:t>
            </w:r>
          </w:p>
        </w:tc>
        <w:tc>
          <w:tcPr>
            <w:tcW w:w="2511" w:type="dxa"/>
            <w:shd w:val="clear" w:color="auto" w:fill="FFFFFF"/>
            <w:hideMark/>
          </w:tcPr>
          <w:p w14:paraId="52B54F2F"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2.82 (1.02 to 5.81) </w:t>
            </w:r>
          </w:p>
        </w:tc>
        <w:tc>
          <w:tcPr>
            <w:tcW w:w="2511" w:type="dxa"/>
            <w:shd w:val="clear" w:color="auto" w:fill="FFFFFF"/>
            <w:hideMark/>
          </w:tcPr>
          <w:p w14:paraId="10AB96DE"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2.34 (1.41 to 3.91) </w:t>
            </w:r>
          </w:p>
        </w:tc>
        <w:tc>
          <w:tcPr>
            <w:tcW w:w="394" w:type="dxa"/>
            <w:shd w:val="clear" w:color="auto" w:fill="FFFFFF"/>
            <w:hideMark/>
          </w:tcPr>
          <w:p w14:paraId="21C77F7E"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shd w:val="clear" w:color="auto" w:fill="FFFFFF"/>
            <w:hideMark/>
          </w:tcPr>
          <w:p w14:paraId="7D72CB21"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5.77 (1.97 to 13.39) </w:t>
            </w:r>
          </w:p>
        </w:tc>
        <w:tc>
          <w:tcPr>
            <w:tcW w:w="2511" w:type="dxa"/>
            <w:shd w:val="clear" w:color="auto" w:fill="FFFFFF"/>
            <w:hideMark/>
          </w:tcPr>
          <w:p w14:paraId="37E7A055"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4.16% (1.82 to 8.60) </w:t>
            </w:r>
          </w:p>
        </w:tc>
      </w:tr>
      <w:tr w:rsidR="005173BB" w14:paraId="49C4ED93" w14:textId="77777777" w:rsidTr="005173BB">
        <w:trPr>
          <w:trHeight w:val="290"/>
          <w:jc w:val="center"/>
        </w:trPr>
        <w:tc>
          <w:tcPr>
            <w:tcW w:w="4280" w:type="dxa"/>
            <w:tcBorders>
              <w:top w:val="nil"/>
              <w:left w:val="nil"/>
              <w:bottom w:val="dashed" w:sz="4" w:space="0" w:color="auto"/>
              <w:right w:val="nil"/>
            </w:tcBorders>
            <w:shd w:val="clear" w:color="auto" w:fill="FFFFFF"/>
            <w:vAlign w:val="center"/>
            <w:hideMark/>
          </w:tcPr>
          <w:p w14:paraId="054187B1"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difference (95% CI)</w:t>
            </w:r>
          </w:p>
        </w:tc>
        <w:tc>
          <w:tcPr>
            <w:tcW w:w="2511" w:type="dxa"/>
            <w:tcBorders>
              <w:top w:val="nil"/>
              <w:left w:val="nil"/>
              <w:bottom w:val="dashed" w:sz="4" w:space="0" w:color="auto"/>
              <w:right w:val="nil"/>
            </w:tcBorders>
            <w:shd w:val="clear" w:color="auto" w:fill="FFFFFF"/>
            <w:hideMark/>
          </w:tcPr>
          <w:p w14:paraId="3DFF4FB7"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+1.38% (0.06 to 3.78) </w:t>
            </w:r>
          </w:p>
        </w:tc>
        <w:tc>
          <w:tcPr>
            <w:tcW w:w="2511" w:type="dxa"/>
            <w:tcBorders>
              <w:top w:val="nil"/>
              <w:left w:val="nil"/>
              <w:bottom w:val="dashed" w:sz="4" w:space="0" w:color="auto"/>
              <w:right w:val="nil"/>
            </w:tcBorders>
            <w:shd w:val="clear" w:color="auto" w:fill="FFFFFF"/>
            <w:hideMark/>
          </w:tcPr>
          <w:p w14:paraId="06A20516"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+5.73% (3.14 to 14.15) </w:t>
            </w:r>
          </w:p>
        </w:tc>
        <w:tc>
          <w:tcPr>
            <w:tcW w:w="394" w:type="dxa"/>
            <w:tcBorders>
              <w:top w:val="nil"/>
              <w:left w:val="nil"/>
              <w:bottom w:val="dashed" w:sz="4" w:space="0" w:color="auto"/>
              <w:right w:val="nil"/>
            </w:tcBorders>
            <w:shd w:val="clear" w:color="auto" w:fill="FFFFFF"/>
            <w:hideMark/>
          </w:tcPr>
          <w:p w14:paraId="10A9DC29"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tcBorders>
              <w:top w:val="nil"/>
              <w:left w:val="nil"/>
              <w:bottom w:val="dashed" w:sz="4" w:space="0" w:color="auto"/>
              <w:right w:val="nil"/>
            </w:tcBorders>
            <w:shd w:val="clear" w:color="auto" w:fill="FFFFFF"/>
            <w:hideMark/>
          </w:tcPr>
          <w:p w14:paraId="5F6FC917"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+2.25% (1.32 to 5.65) </w:t>
            </w:r>
          </w:p>
        </w:tc>
        <w:tc>
          <w:tcPr>
            <w:tcW w:w="2511" w:type="dxa"/>
            <w:tcBorders>
              <w:top w:val="nil"/>
              <w:left w:val="nil"/>
              <w:bottom w:val="dashed" w:sz="4" w:space="0" w:color="auto"/>
              <w:right w:val="nil"/>
            </w:tcBorders>
            <w:shd w:val="clear" w:color="auto" w:fill="FFFFFF"/>
            <w:hideMark/>
          </w:tcPr>
          <w:p w14:paraId="5E825A09"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+9.35% (5.66 to 24.93) </w:t>
            </w:r>
          </w:p>
        </w:tc>
      </w:tr>
      <w:tr w:rsidR="005173BB" w14:paraId="55B5F103" w14:textId="77777777" w:rsidTr="005173BB">
        <w:trPr>
          <w:trHeight w:val="300"/>
          <w:jc w:val="center"/>
        </w:trPr>
        <w:tc>
          <w:tcPr>
            <w:tcW w:w="4280" w:type="dxa"/>
            <w:shd w:val="clear" w:color="auto" w:fill="FFFFFF"/>
            <w:hideMark/>
          </w:tcPr>
          <w:p w14:paraId="22DB063B" w14:textId="77777777" w:rsidR="005173BB" w:rsidRDefault="005173BB">
            <w:pPr>
              <w:autoSpaceDE/>
              <w:rPr>
                <w:rFonts w:ascii="Inherit" w:hAnsi="Inherit" w:cs="Calibri"/>
                <w:b/>
                <w:bCs/>
                <w:sz w:val="22"/>
                <w:szCs w:val="22"/>
                <w:lang w:val="en-US" w:eastAsia="en-US"/>
              </w:rPr>
            </w:pPr>
            <w:r>
              <w:rPr>
                <w:rFonts w:ascii="Inherit" w:hAnsi="Inherit" w:cs="Calibri"/>
                <w:b/>
                <w:bCs/>
                <w:sz w:val="22"/>
                <w:szCs w:val="22"/>
                <w:lang w:val="en-US" w:eastAsia="en-US"/>
              </w:rPr>
              <w:t>Cardiovascular mortality </w:t>
            </w:r>
          </w:p>
        </w:tc>
        <w:tc>
          <w:tcPr>
            <w:tcW w:w="2511" w:type="dxa"/>
            <w:shd w:val="clear" w:color="auto" w:fill="FFFFFF"/>
          </w:tcPr>
          <w:p w14:paraId="478AD981" w14:textId="77777777" w:rsidR="005173BB" w:rsidRDefault="005173BB">
            <w:pPr>
              <w:autoSpaceDE/>
              <w:jc w:val="center"/>
              <w:rPr>
                <w:rFonts w:ascii="Inherit" w:hAnsi="Inherit" w:cs="Calibri"/>
                <w:sz w:val="22"/>
                <w:szCs w:val="22"/>
                <w:lang w:val="en-US" w:eastAsia="en-US"/>
              </w:rPr>
            </w:pPr>
          </w:p>
        </w:tc>
        <w:tc>
          <w:tcPr>
            <w:tcW w:w="2511" w:type="dxa"/>
            <w:shd w:val="clear" w:color="auto" w:fill="FFFFFF"/>
          </w:tcPr>
          <w:p w14:paraId="34C6FC10" w14:textId="77777777" w:rsidR="005173BB" w:rsidRDefault="005173BB">
            <w:pPr>
              <w:autoSpaceDE/>
              <w:jc w:val="center"/>
              <w:rPr>
                <w:rFonts w:ascii="Inherit" w:hAnsi="Inherit" w:cs="Calibri"/>
                <w:color w:val="FF0000"/>
                <w:sz w:val="22"/>
                <w:szCs w:val="22"/>
                <w:lang w:val="en-US" w:eastAsia="en-US"/>
              </w:rPr>
            </w:pPr>
          </w:p>
        </w:tc>
        <w:tc>
          <w:tcPr>
            <w:tcW w:w="394" w:type="dxa"/>
            <w:shd w:val="clear" w:color="auto" w:fill="FFFFFF"/>
          </w:tcPr>
          <w:p w14:paraId="50C0AF41"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tcPr>
          <w:p w14:paraId="0B10285C" w14:textId="77777777" w:rsidR="005173BB" w:rsidRDefault="005173BB">
            <w:pPr>
              <w:autoSpaceDE/>
              <w:jc w:val="center"/>
              <w:rPr>
                <w:rFonts w:ascii="Inherit" w:hAnsi="Inherit" w:cs="Calibri"/>
                <w:sz w:val="22"/>
                <w:szCs w:val="22"/>
                <w:lang w:val="en-US" w:eastAsia="en-US"/>
              </w:rPr>
            </w:pPr>
          </w:p>
        </w:tc>
        <w:tc>
          <w:tcPr>
            <w:tcW w:w="2511" w:type="dxa"/>
            <w:shd w:val="clear" w:color="auto" w:fill="FFFFFF"/>
          </w:tcPr>
          <w:p w14:paraId="05E8F970" w14:textId="77777777" w:rsidR="005173BB" w:rsidRDefault="005173BB">
            <w:pPr>
              <w:autoSpaceDE/>
              <w:jc w:val="center"/>
              <w:rPr>
                <w:rFonts w:ascii="Inherit" w:hAnsi="Inherit" w:cs="Calibri"/>
                <w:sz w:val="22"/>
                <w:szCs w:val="22"/>
                <w:lang w:val="en-US" w:eastAsia="en-US"/>
              </w:rPr>
            </w:pPr>
          </w:p>
        </w:tc>
      </w:tr>
      <w:tr w:rsidR="005173BB" w14:paraId="40299201" w14:textId="77777777" w:rsidTr="005173BB">
        <w:trPr>
          <w:trHeight w:val="300"/>
          <w:jc w:val="center"/>
        </w:trPr>
        <w:tc>
          <w:tcPr>
            <w:tcW w:w="4280" w:type="dxa"/>
            <w:shd w:val="clear" w:color="auto" w:fill="FFFFFF"/>
            <w:hideMark/>
          </w:tcPr>
          <w:p w14:paraId="3FEBEA30"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 xml:space="preserve">Number of events (%) among low level </w:t>
            </w:r>
          </w:p>
        </w:tc>
        <w:tc>
          <w:tcPr>
            <w:tcW w:w="2511" w:type="dxa"/>
            <w:shd w:val="clear" w:color="auto" w:fill="FFFFFF"/>
            <w:hideMark/>
          </w:tcPr>
          <w:p w14:paraId="58841511" w14:textId="77777777" w:rsidR="005173BB" w:rsidRDefault="005173BB">
            <w:pPr>
              <w:autoSpaceDE/>
              <w:jc w:val="center"/>
              <w:rPr>
                <w:rFonts w:ascii="Inherit" w:hAnsi="Inherit" w:cs="Calibri"/>
                <w:sz w:val="22"/>
                <w:szCs w:val="22"/>
                <w:lang w:val="en-US" w:eastAsia="en-US"/>
              </w:rPr>
            </w:pPr>
            <w:r>
              <w:rPr>
                <w:sz w:val="24"/>
                <w:szCs w:val="24"/>
              </w:rPr>
              <w:t>8/944 (0.9%) </w:t>
            </w:r>
          </w:p>
        </w:tc>
        <w:tc>
          <w:tcPr>
            <w:tcW w:w="2511" w:type="dxa"/>
            <w:shd w:val="clear" w:color="auto" w:fill="FFFFFF"/>
            <w:hideMark/>
          </w:tcPr>
          <w:p w14:paraId="5E292103" w14:textId="77777777" w:rsidR="005173BB" w:rsidRDefault="005173BB">
            <w:pPr>
              <w:autoSpaceDE/>
              <w:jc w:val="center"/>
              <w:rPr>
                <w:rFonts w:ascii="Inherit" w:hAnsi="Inherit" w:cs="Calibri"/>
                <w:sz w:val="22"/>
                <w:szCs w:val="22"/>
                <w:lang w:val="en-US" w:eastAsia="en-US"/>
              </w:rPr>
            </w:pPr>
            <w:r>
              <w:rPr>
                <w:sz w:val="24"/>
                <w:szCs w:val="24"/>
              </w:rPr>
              <w:t>27/273 (9.9%) </w:t>
            </w:r>
          </w:p>
        </w:tc>
        <w:tc>
          <w:tcPr>
            <w:tcW w:w="394" w:type="dxa"/>
            <w:shd w:val="clear" w:color="auto" w:fill="FFFFFF"/>
          </w:tcPr>
          <w:p w14:paraId="6AE4693F"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hideMark/>
          </w:tcPr>
          <w:p w14:paraId="57A68B13" w14:textId="77777777" w:rsidR="005173BB" w:rsidRDefault="005173BB">
            <w:pPr>
              <w:autoSpaceDE/>
              <w:jc w:val="center"/>
              <w:rPr>
                <w:rFonts w:ascii="Inherit" w:hAnsi="Inherit" w:cs="Calibri"/>
                <w:sz w:val="22"/>
                <w:szCs w:val="22"/>
                <w:lang w:val="en-US" w:eastAsia="en-US"/>
              </w:rPr>
            </w:pPr>
            <w:r>
              <w:rPr>
                <w:sz w:val="24"/>
                <w:szCs w:val="24"/>
              </w:rPr>
              <w:t>12/542 (2.2%) </w:t>
            </w:r>
          </w:p>
        </w:tc>
        <w:tc>
          <w:tcPr>
            <w:tcW w:w="2511" w:type="dxa"/>
            <w:shd w:val="clear" w:color="auto" w:fill="FFFFFF"/>
            <w:hideMark/>
          </w:tcPr>
          <w:p w14:paraId="2B32350A" w14:textId="77777777" w:rsidR="005173BB" w:rsidRDefault="005173BB">
            <w:pPr>
              <w:autoSpaceDE/>
              <w:jc w:val="center"/>
              <w:rPr>
                <w:rFonts w:ascii="Inherit" w:hAnsi="Inherit" w:cs="Calibri"/>
                <w:sz w:val="22"/>
                <w:szCs w:val="22"/>
                <w:lang w:val="en-US" w:eastAsia="en-US"/>
              </w:rPr>
            </w:pPr>
            <w:r>
              <w:rPr>
                <w:sz w:val="24"/>
                <w:szCs w:val="24"/>
              </w:rPr>
              <w:t>18/140 (12.9%) </w:t>
            </w:r>
          </w:p>
        </w:tc>
      </w:tr>
      <w:tr w:rsidR="005173BB" w14:paraId="6F99DC05" w14:textId="77777777" w:rsidTr="005173BB">
        <w:trPr>
          <w:trHeight w:val="300"/>
          <w:jc w:val="center"/>
        </w:trPr>
        <w:tc>
          <w:tcPr>
            <w:tcW w:w="4280" w:type="dxa"/>
            <w:shd w:val="clear" w:color="auto" w:fill="FFFFFF"/>
            <w:hideMark/>
          </w:tcPr>
          <w:p w14:paraId="15D3143F"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Number of events (%) among high level</w:t>
            </w:r>
          </w:p>
        </w:tc>
        <w:tc>
          <w:tcPr>
            <w:tcW w:w="2511" w:type="dxa"/>
            <w:shd w:val="clear" w:color="auto" w:fill="FFFFFF"/>
            <w:hideMark/>
          </w:tcPr>
          <w:p w14:paraId="5DBC6D3B" w14:textId="77777777" w:rsidR="005173BB" w:rsidRDefault="005173BB">
            <w:pPr>
              <w:autoSpaceDE/>
              <w:jc w:val="center"/>
              <w:rPr>
                <w:rFonts w:ascii="Inherit" w:hAnsi="Inherit" w:cs="Calibri"/>
                <w:sz w:val="22"/>
                <w:szCs w:val="22"/>
                <w:lang w:val="en-US" w:eastAsia="en-US"/>
              </w:rPr>
            </w:pPr>
            <w:r>
              <w:rPr>
                <w:sz w:val="24"/>
                <w:szCs w:val="24"/>
              </w:rPr>
              <w:t>228/7851 (2.9%) </w:t>
            </w:r>
          </w:p>
        </w:tc>
        <w:tc>
          <w:tcPr>
            <w:tcW w:w="2511" w:type="dxa"/>
            <w:shd w:val="clear" w:color="auto" w:fill="FFFFFF"/>
            <w:hideMark/>
          </w:tcPr>
          <w:p w14:paraId="20B7610E" w14:textId="77777777" w:rsidR="005173BB" w:rsidRDefault="005173BB">
            <w:pPr>
              <w:autoSpaceDE/>
              <w:jc w:val="center"/>
              <w:rPr>
                <w:rFonts w:ascii="Inherit" w:hAnsi="Inherit" w:cs="Calibri"/>
                <w:sz w:val="22"/>
                <w:szCs w:val="22"/>
                <w:lang w:val="en-US" w:eastAsia="en-US"/>
              </w:rPr>
            </w:pPr>
            <w:r>
              <w:rPr>
                <w:sz w:val="24"/>
                <w:szCs w:val="24"/>
              </w:rPr>
              <w:t>1195/5752 (20.8%) </w:t>
            </w:r>
          </w:p>
        </w:tc>
        <w:tc>
          <w:tcPr>
            <w:tcW w:w="394" w:type="dxa"/>
            <w:shd w:val="clear" w:color="auto" w:fill="FFFFFF"/>
            <w:hideMark/>
          </w:tcPr>
          <w:p w14:paraId="361309CA"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shd w:val="clear" w:color="auto" w:fill="FFFFFF"/>
            <w:hideMark/>
          </w:tcPr>
          <w:p w14:paraId="136B4A99" w14:textId="77777777" w:rsidR="005173BB" w:rsidRDefault="005173BB">
            <w:pPr>
              <w:autoSpaceDE/>
              <w:jc w:val="center"/>
              <w:rPr>
                <w:rFonts w:ascii="Inherit" w:hAnsi="Inherit" w:cs="Calibri"/>
                <w:sz w:val="22"/>
                <w:szCs w:val="22"/>
                <w:lang w:val="en-US" w:eastAsia="en-US"/>
              </w:rPr>
            </w:pPr>
            <w:r>
              <w:rPr>
                <w:sz w:val="24"/>
                <w:szCs w:val="24"/>
              </w:rPr>
              <w:t>233/8006 (2.9%) </w:t>
            </w:r>
          </w:p>
        </w:tc>
        <w:tc>
          <w:tcPr>
            <w:tcW w:w="2511" w:type="dxa"/>
            <w:shd w:val="clear" w:color="auto" w:fill="FFFFFF"/>
            <w:hideMark/>
          </w:tcPr>
          <w:p w14:paraId="16199C9C" w14:textId="77777777" w:rsidR="005173BB" w:rsidRDefault="005173BB">
            <w:pPr>
              <w:autoSpaceDE/>
              <w:jc w:val="center"/>
              <w:rPr>
                <w:rFonts w:ascii="Inherit" w:hAnsi="Inherit" w:cs="Calibri"/>
                <w:sz w:val="22"/>
                <w:szCs w:val="22"/>
                <w:lang w:val="en-US" w:eastAsia="en-US"/>
              </w:rPr>
            </w:pPr>
            <w:r>
              <w:rPr>
                <w:sz w:val="24"/>
                <w:szCs w:val="24"/>
              </w:rPr>
              <w:t>1172/5592 (21.0%) </w:t>
            </w:r>
          </w:p>
        </w:tc>
      </w:tr>
      <w:tr w:rsidR="005173BB" w14:paraId="470D4F1A" w14:textId="77777777" w:rsidTr="005173BB">
        <w:trPr>
          <w:trHeight w:val="300"/>
          <w:jc w:val="center"/>
        </w:trPr>
        <w:tc>
          <w:tcPr>
            <w:tcW w:w="4280" w:type="dxa"/>
            <w:shd w:val="clear" w:color="auto" w:fill="FFFFFF"/>
            <w:vAlign w:val="center"/>
            <w:hideMark/>
          </w:tcPr>
          <w:p w14:paraId="7C9A935D"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ratio (95% CI)</w:t>
            </w:r>
          </w:p>
        </w:tc>
        <w:tc>
          <w:tcPr>
            <w:tcW w:w="2511" w:type="dxa"/>
            <w:shd w:val="clear" w:color="auto" w:fill="FFFFFF"/>
            <w:hideMark/>
          </w:tcPr>
          <w:p w14:paraId="51145830"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0.78 (0.07 to 6.38) </w:t>
            </w:r>
          </w:p>
        </w:tc>
        <w:tc>
          <w:tcPr>
            <w:tcW w:w="2511" w:type="dxa"/>
            <w:shd w:val="clear" w:color="auto" w:fill="FFFFFF"/>
            <w:hideMark/>
          </w:tcPr>
          <w:p w14:paraId="1487F797"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3.18 (1.40 to 7.46) </w:t>
            </w:r>
          </w:p>
        </w:tc>
        <w:tc>
          <w:tcPr>
            <w:tcW w:w="394" w:type="dxa"/>
            <w:shd w:val="clear" w:color="auto" w:fill="FFFFFF"/>
            <w:hideMark/>
          </w:tcPr>
          <w:p w14:paraId="3F3220A4"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shd w:val="clear" w:color="auto" w:fill="FFFFFF"/>
            <w:hideMark/>
          </w:tcPr>
          <w:p w14:paraId="011B03AE"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2.74 (1.08 to 38.06) </w:t>
            </w:r>
          </w:p>
        </w:tc>
        <w:tc>
          <w:tcPr>
            <w:tcW w:w="2511" w:type="dxa"/>
            <w:shd w:val="clear" w:color="auto" w:fill="FFFFFF"/>
            <w:hideMark/>
          </w:tcPr>
          <w:p w14:paraId="0468E45C"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2.43 (1.21 to 5.02) </w:t>
            </w:r>
          </w:p>
        </w:tc>
      </w:tr>
      <w:tr w:rsidR="005173BB" w14:paraId="5C04D4DF" w14:textId="77777777" w:rsidTr="005173BB">
        <w:trPr>
          <w:trHeight w:val="290"/>
          <w:jc w:val="center"/>
        </w:trPr>
        <w:tc>
          <w:tcPr>
            <w:tcW w:w="4280" w:type="dxa"/>
            <w:tcBorders>
              <w:top w:val="nil"/>
              <w:left w:val="nil"/>
              <w:bottom w:val="dashed" w:sz="4" w:space="0" w:color="auto"/>
              <w:right w:val="nil"/>
            </w:tcBorders>
            <w:shd w:val="clear" w:color="auto" w:fill="FFFFFF"/>
            <w:vAlign w:val="center"/>
            <w:hideMark/>
          </w:tcPr>
          <w:p w14:paraId="64A067D3"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difference (95% CI)</w:t>
            </w:r>
          </w:p>
        </w:tc>
        <w:tc>
          <w:tcPr>
            <w:tcW w:w="2511" w:type="dxa"/>
            <w:tcBorders>
              <w:top w:val="nil"/>
              <w:left w:val="nil"/>
              <w:bottom w:val="dashed" w:sz="4" w:space="0" w:color="auto"/>
              <w:right w:val="nil"/>
            </w:tcBorders>
            <w:shd w:val="clear" w:color="auto" w:fill="FFFFFF"/>
            <w:hideMark/>
          </w:tcPr>
          <w:p w14:paraId="78BC0043"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-0.06% (-2.62 to 0.54) </w:t>
            </w:r>
          </w:p>
        </w:tc>
        <w:tc>
          <w:tcPr>
            <w:tcW w:w="2511" w:type="dxa"/>
            <w:tcBorders>
              <w:top w:val="nil"/>
              <w:left w:val="nil"/>
              <w:bottom w:val="dashed" w:sz="4" w:space="0" w:color="auto"/>
              <w:right w:val="nil"/>
            </w:tcBorders>
            <w:shd w:val="clear" w:color="auto" w:fill="FFFFFF"/>
            <w:hideMark/>
          </w:tcPr>
          <w:p w14:paraId="5F62F8C8"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+2.11% (0.98 to 5.78) </w:t>
            </w:r>
          </w:p>
        </w:tc>
        <w:tc>
          <w:tcPr>
            <w:tcW w:w="394" w:type="dxa"/>
            <w:tcBorders>
              <w:top w:val="nil"/>
              <w:left w:val="nil"/>
              <w:bottom w:val="dashed" w:sz="4" w:space="0" w:color="auto"/>
              <w:right w:val="nil"/>
            </w:tcBorders>
            <w:shd w:val="clear" w:color="auto" w:fill="FFFFFF"/>
            <w:hideMark/>
          </w:tcPr>
          <w:p w14:paraId="72EF06F7"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tcBorders>
              <w:top w:val="nil"/>
              <w:left w:val="nil"/>
              <w:bottom w:val="dashed" w:sz="4" w:space="0" w:color="auto"/>
              <w:right w:val="nil"/>
            </w:tcBorders>
            <w:shd w:val="clear" w:color="auto" w:fill="FFFFFF"/>
            <w:hideMark/>
          </w:tcPr>
          <w:p w14:paraId="56EB2AAA"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+0.22% (0.04 to 1.22) </w:t>
            </w:r>
          </w:p>
        </w:tc>
        <w:tc>
          <w:tcPr>
            <w:tcW w:w="2511" w:type="dxa"/>
            <w:tcBorders>
              <w:top w:val="nil"/>
              <w:left w:val="nil"/>
              <w:bottom w:val="dashed" w:sz="4" w:space="0" w:color="auto"/>
              <w:right w:val="nil"/>
            </w:tcBorders>
            <w:shd w:val="clear" w:color="auto" w:fill="FFFFFF"/>
            <w:hideMark/>
          </w:tcPr>
          <w:p w14:paraId="16D09C32"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+1.73% (0.49 to 5.62) </w:t>
            </w:r>
          </w:p>
        </w:tc>
      </w:tr>
      <w:tr w:rsidR="005173BB" w14:paraId="2E91EFDB" w14:textId="77777777" w:rsidTr="005173BB">
        <w:trPr>
          <w:trHeight w:val="300"/>
          <w:jc w:val="center"/>
        </w:trPr>
        <w:tc>
          <w:tcPr>
            <w:tcW w:w="4280" w:type="dxa"/>
            <w:shd w:val="clear" w:color="auto" w:fill="FFFFFF"/>
            <w:hideMark/>
          </w:tcPr>
          <w:p w14:paraId="40675D62" w14:textId="77777777" w:rsidR="005173BB" w:rsidRDefault="005173BB">
            <w:pPr>
              <w:autoSpaceDE/>
              <w:rPr>
                <w:rFonts w:ascii="Inherit" w:hAnsi="Inherit" w:cs="Calibri"/>
                <w:b/>
                <w:bCs/>
                <w:sz w:val="22"/>
                <w:szCs w:val="22"/>
                <w:lang w:val="en-US" w:eastAsia="en-US"/>
              </w:rPr>
            </w:pPr>
            <w:r>
              <w:rPr>
                <w:rFonts w:ascii="Inherit" w:hAnsi="Inherit" w:cs="Calibri"/>
                <w:b/>
                <w:bCs/>
                <w:sz w:val="22"/>
                <w:szCs w:val="22"/>
                <w:lang w:val="en-US" w:eastAsia="en-US"/>
              </w:rPr>
              <w:t>Cancer mortality</w:t>
            </w:r>
          </w:p>
        </w:tc>
        <w:tc>
          <w:tcPr>
            <w:tcW w:w="2511" w:type="dxa"/>
            <w:shd w:val="clear" w:color="auto" w:fill="FFFFFF"/>
          </w:tcPr>
          <w:p w14:paraId="5876416E" w14:textId="77777777" w:rsidR="005173BB" w:rsidRDefault="005173BB">
            <w:pPr>
              <w:autoSpaceDE/>
              <w:jc w:val="center"/>
              <w:rPr>
                <w:rFonts w:ascii="Inherit" w:hAnsi="Inherit" w:cs="Calibri"/>
                <w:sz w:val="22"/>
                <w:szCs w:val="22"/>
                <w:lang w:val="en-US" w:eastAsia="en-US"/>
              </w:rPr>
            </w:pPr>
          </w:p>
        </w:tc>
        <w:tc>
          <w:tcPr>
            <w:tcW w:w="2511" w:type="dxa"/>
            <w:shd w:val="clear" w:color="auto" w:fill="FFFFFF"/>
          </w:tcPr>
          <w:p w14:paraId="4BB90814" w14:textId="77777777" w:rsidR="005173BB" w:rsidRDefault="005173BB">
            <w:pPr>
              <w:autoSpaceDE/>
              <w:jc w:val="center"/>
              <w:rPr>
                <w:rFonts w:ascii="Inherit" w:hAnsi="Inherit" w:cs="Calibri"/>
                <w:sz w:val="22"/>
                <w:szCs w:val="22"/>
                <w:lang w:val="en-US" w:eastAsia="en-US"/>
              </w:rPr>
            </w:pPr>
          </w:p>
        </w:tc>
        <w:tc>
          <w:tcPr>
            <w:tcW w:w="394" w:type="dxa"/>
            <w:shd w:val="clear" w:color="auto" w:fill="FFFFFF"/>
          </w:tcPr>
          <w:p w14:paraId="1477CF6B"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tcPr>
          <w:p w14:paraId="535D01C7" w14:textId="77777777" w:rsidR="005173BB" w:rsidRDefault="005173BB">
            <w:pPr>
              <w:autoSpaceDE/>
              <w:jc w:val="center"/>
              <w:rPr>
                <w:rFonts w:ascii="Inherit" w:hAnsi="Inherit" w:cs="Calibri"/>
                <w:sz w:val="22"/>
                <w:szCs w:val="22"/>
                <w:lang w:val="en-US" w:eastAsia="en-US"/>
              </w:rPr>
            </w:pPr>
          </w:p>
        </w:tc>
        <w:tc>
          <w:tcPr>
            <w:tcW w:w="2511" w:type="dxa"/>
            <w:shd w:val="clear" w:color="auto" w:fill="FFFFFF"/>
          </w:tcPr>
          <w:p w14:paraId="321A1B31" w14:textId="77777777" w:rsidR="005173BB" w:rsidRDefault="005173BB">
            <w:pPr>
              <w:autoSpaceDE/>
              <w:jc w:val="center"/>
              <w:rPr>
                <w:rFonts w:ascii="Inherit" w:hAnsi="Inherit" w:cs="Calibri"/>
                <w:sz w:val="22"/>
                <w:szCs w:val="22"/>
                <w:lang w:val="en-US" w:eastAsia="en-US"/>
              </w:rPr>
            </w:pPr>
          </w:p>
        </w:tc>
      </w:tr>
      <w:tr w:rsidR="005173BB" w14:paraId="22658829" w14:textId="77777777" w:rsidTr="005173BB">
        <w:trPr>
          <w:trHeight w:val="300"/>
          <w:jc w:val="center"/>
        </w:trPr>
        <w:tc>
          <w:tcPr>
            <w:tcW w:w="4280" w:type="dxa"/>
            <w:shd w:val="clear" w:color="auto" w:fill="FFFFFF"/>
            <w:hideMark/>
          </w:tcPr>
          <w:p w14:paraId="2FAB8238"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 xml:space="preserve">Number of events (%) among low level </w:t>
            </w:r>
          </w:p>
        </w:tc>
        <w:tc>
          <w:tcPr>
            <w:tcW w:w="2511" w:type="dxa"/>
            <w:shd w:val="clear" w:color="auto" w:fill="FFFFFF"/>
            <w:hideMark/>
          </w:tcPr>
          <w:p w14:paraId="61AF7A21" w14:textId="77777777" w:rsidR="005173BB" w:rsidRDefault="005173BB">
            <w:pPr>
              <w:autoSpaceDE/>
              <w:jc w:val="center"/>
              <w:rPr>
                <w:rFonts w:ascii="Inherit" w:hAnsi="Inherit" w:cs="Calibri"/>
                <w:sz w:val="22"/>
                <w:szCs w:val="22"/>
                <w:lang w:val="en-US" w:eastAsia="en-US"/>
              </w:rPr>
            </w:pPr>
            <w:r>
              <w:rPr>
                <w:sz w:val="24"/>
                <w:szCs w:val="24"/>
              </w:rPr>
              <w:t>24/944 (2.5%) </w:t>
            </w:r>
          </w:p>
        </w:tc>
        <w:tc>
          <w:tcPr>
            <w:tcW w:w="2511" w:type="dxa"/>
            <w:shd w:val="clear" w:color="auto" w:fill="FFFFFF"/>
            <w:hideMark/>
          </w:tcPr>
          <w:p w14:paraId="23ED3163" w14:textId="77777777" w:rsidR="005173BB" w:rsidRDefault="005173BB">
            <w:pPr>
              <w:autoSpaceDE/>
              <w:jc w:val="center"/>
              <w:rPr>
                <w:rFonts w:ascii="Inherit" w:hAnsi="Inherit" w:cs="Calibri"/>
                <w:sz w:val="22"/>
                <w:szCs w:val="22"/>
                <w:lang w:val="en-US" w:eastAsia="en-US"/>
              </w:rPr>
            </w:pPr>
            <w:r>
              <w:rPr>
                <w:sz w:val="24"/>
                <w:szCs w:val="24"/>
              </w:rPr>
              <w:t>25/273 (9.2%) </w:t>
            </w:r>
          </w:p>
        </w:tc>
        <w:tc>
          <w:tcPr>
            <w:tcW w:w="394" w:type="dxa"/>
            <w:shd w:val="clear" w:color="auto" w:fill="FFFFFF"/>
          </w:tcPr>
          <w:p w14:paraId="5D8C5DEF" w14:textId="77777777" w:rsidR="005173BB" w:rsidRDefault="005173BB">
            <w:pPr>
              <w:autoSpaceDE/>
              <w:jc w:val="center"/>
              <w:rPr>
                <w:rFonts w:ascii="Inherit" w:hAnsi="Inherit" w:cs="Calibri"/>
                <w:color w:val="FF0000"/>
                <w:sz w:val="22"/>
                <w:szCs w:val="22"/>
                <w:lang w:val="en-US" w:eastAsia="en-US"/>
              </w:rPr>
            </w:pPr>
          </w:p>
        </w:tc>
        <w:tc>
          <w:tcPr>
            <w:tcW w:w="2511" w:type="dxa"/>
            <w:shd w:val="clear" w:color="auto" w:fill="FFFFFF"/>
            <w:hideMark/>
          </w:tcPr>
          <w:p w14:paraId="6CFC71CA" w14:textId="77777777" w:rsidR="005173BB" w:rsidRDefault="005173BB">
            <w:pPr>
              <w:autoSpaceDE/>
              <w:jc w:val="center"/>
              <w:rPr>
                <w:rFonts w:ascii="Inherit" w:hAnsi="Inherit" w:cs="Calibri"/>
                <w:sz w:val="22"/>
                <w:szCs w:val="22"/>
                <w:lang w:val="en-US" w:eastAsia="en-US"/>
              </w:rPr>
            </w:pPr>
            <w:r>
              <w:rPr>
                <w:sz w:val="24"/>
                <w:szCs w:val="24"/>
              </w:rPr>
              <w:t>12/542 (2.2%) </w:t>
            </w:r>
          </w:p>
        </w:tc>
        <w:tc>
          <w:tcPr>
            <w:tcW w:w="2511" w:type="dxa"/>
            <w:shd w:val="clear" w:color="auto" w:fill="FFFFFF"/>
            <w:hideMark/>
          </w:tcPr>
          <w:p w14:paraId="2BA635AA" w14:textId="77777777" w:rsidR="005173BB" w:rsidRDefault="005173BB">
            <w:pPr>
              <w:autoSpaceDE/>
              <w:jc w:val="center"/>
              <w:rPr>
                <w:rFonts w:ascii="Inherit" w:hAnsi="Inherit" w:cs="Calibri"/>
                <w:sz w:val="22"/>
                <w:szCs w:val="22"/>
                <w:lang w:val="en-US" w:eastAsia="en-US"/>
              </w:rPr>
            </w:pPr>
            <w:r>
              <w:rPr>
                <w:sz w:val="24"/>
                <w:szCs w:val="24"/>
              </w:rPr>
              <w:t>10/140 (7.1%) </w:t>
            </w:r>
          </w:p>
        </w:tc>
      </w:tr>
      <w:tr w:rsidR="005173BB" w14:paraId="267673B9" w14:textId="77777777" w:rsidTr="005173BB">
        <w:trPr>
          <w:trHeight w:val="300"/>
          <w:jc w:val="center"/>
        </w:trPr>
        <w:tc>
          <w:tcPr>
            <w:tcW w:w="4280" w:type="dxa"/>
            <w:shd w:val="clear" w:color="auto" w:fill="FFFFFF"/>
            <w:hideMark/>
          </w:tcPr>
          <w:p w14:paraId="2C2558B9"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Number of events (%) among high level</w:t>
            </w:r>
          </w:p>
        </w:tc>
        <w:tc>
          <w:tcPr>
            <w:tcW w:w="2511" w:type="dxa"/>
            <w:shd w:val="clear" w:color="auto" w:fill="FFFFFF"/>
            <w:hideMark/>
          </w:tcPr>
          <w:p w14:paraId="2FC98427" w14:textId="77777777" w:rsidR="005173BB" w:rsidRDefault="005173BB">
            <w:pPr>
              <w:autoSpaceDE/>
              <w:jc w:val="center"/>
              <w:rPr>
                <w:rFonts w:ascii="Inherit" w:hAnsi="Inherit" w:cs="Calibri"/>
                <w:sz w:val="22"/>
                <w:szCs w:val="22"/>
                <w:lang w:val="en-US" w:eastAsia="en-US"/>
              </w:rPr>
            </w:pPr>
            <w:r>
              <w:rPr>
                <w:sz w:val="24"/>
                <w:szCs w:val="24"/>
              </w:rPr>
              <w:t>277/7851 (3.5%) </w:t>
            </w:r>
          </w:p>
        </w:tc>
        <w:tc>
          <w:tcPr>
            <w:tcW w:w="2511" w:type="dxa"/>
            <w:shd w:val="clear" w:color="auto" w:fill="FFFFFF"/>
            <w:hideMark/>
          </w:tcPr>
          <w:p w14:paraId="60DFA8ED" w14:textId="77777777" w:rsidR="005173BB" w:rsidRDefault="005173BB">
            <w:pPr>
              <w:autoSpaceDE/>
              <w:jc w:val="center"/>
              <w:rPr>
                <w:rFonts w:ascii="Inherit" w:hAnsi="Inherit" w:cs="Calibri"/>
                <w:sz w:val="22"/>
                <w:szCs w:val="22"/>
                <w:lang w:val="en-US" w:eastAsia="en-US"/>
              </w:rPr>
            </w:pPr>
            <w:r>
              <w:rPr>
                <w:sz w:val="24"/>
                <w:szCs w:val="24"/>
              </w:rPr>
              <w:t>750/5752 (13.0%) </w:t>
            </w:r>
          </w:p>
        </w:tc>
        <w:tc>
          <w:tcPr>
            <w:tcW w:w="394" w:type="dxa"/>
            <w:shd w:val="clear" w:color="auto" w:fill="FFFFFF"/>
            <w:hideMark/>
          </w:tcPr>
          <w:p w14:paraId="7F60875A"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shd w:val="clear" w:color="auto" w:fill="FFFFFF"/>
            <w:hideMark/>
          </w:tcPr>
          <w:p w14:paraId="3535802E" w14:textId="77777777" w:rsidR="005173BB" w:rsidRDefault="005173BB">
            <w:pPr>
              <w:autoSpaceDE/>
              <w:jc w:val="center"/>
              <w:rPr>
                <w:rFonts w:ascii="Inherit" w:hAnsi="Inherit" w:cs="Calibri"/>
                <w:sz w:val="22"/>
                <w:szCs w:val="22"/>
                <w:lang w:val="en-US" w:eastAsia="en-US"/>
              </w:rPr>
            </w:pPr>
            <w:r>
              <w:rPr>
                <w:sz w:val="24"/>
                <w:szCs w:val="24"/>
              </w:rPr>
              <w:t>286/8006 (3.6%) </w:t>
            </w:r>
          </w:p>
        </w:tc>
        <w:tc>
          <w:tcPr>
            <w:tcW w:w="2511" w:type="dxa"/>
            <w:shd w:val="clear" w:color="auto" w:fill="FFFFFF"/>
            <w:hideMark/>
          </w:tcPr>
          <w:p w14:paraId="6083418C" w14:textId="77777777" w:rsidR="005173BB" w:rsidRDefault="005173BB">
            <w:pPr>
              <w:autoSpaceDE/>
              <w:jc w:val="center"/>
              <w:rPr>
                <w:rFonts w:ascii="Inherit" w:hAnsi="Inherit" w:cs="Calibri"/>
                <w:color w:val="FF0000"/>
                <w:sz w:val="22"/>
                <w:szCs w:val="22"/>
                <w:lang w:val="en-US" w:eastAsia="en-US"/>
              </w:rPr>
            </w:pPr>
            <w:r>
              <w:rPr>
                <w:sz w:val="24"/>
                <w:szCs w:val="24"/>
              </w:rPr>
              <w:t>721/5592 (12.9%) </w:t>
            </w:r>
          </w:p>
        </w:tc>
      </w:tr>
      <w:tr w:rsidR="005173BB" w14:paraId="01314B38" w14:textId="77777777" w:rsidTr="005173BB">
        <w:trPr>
          <w:trHeight w:val="300"/>
          <w:jc w:val="center"/>
        </w:trPr>
        <w:tc>
          <w:tcPr>
            <w:tcW w:w="4280" w:type="dxa"/>
            <w:shd w:val="clear" w:color="auto" w:fill="FFFFFF"/>
            <w:vAlign w:val="center"/>
            <w:hideMark/>
          </w:tcPr>
          <w:p w14:paraId="29424E36"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ratio (95% CI)</w:t>
            </w:r>
          </w:p>
        </w:tc>
        <w:tc>
          <w:tcPr>
            <w:tcW w:w="2511" w:type="dxa"/>
            <w:shd w:val="clear" w:color="auto" w:fill="FFFFFF"/>
            <w:hideMark/>
          </w:tcPr>
          <w:p w14:paraId="6FBF2476"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5.36 (1.01 to 21.15) </w:t>
            </w:r>
          </w:p>
        </w:tc>
        <w:tc>
          <w:tcPr>
            <w:tcW w:w="2511" w:type="dxa"/>
            <w:shd w:val="clear" w:color="auto" w:fill="FFFFFF"/>
            <w:hideMark/>
          </w:tcPr>
          <w:p w14:paraId="12E6C193"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1.85 (0.65 to 6.48) </w:t>
            </w:r>
          </w:p>
        </w:tc>
        <w:tc>
          <w:tcPr>
            <w:tcW w:w="394" w:type="dxa"/>
            <w:shd w:val="clear" w:color="auto" w:fill="FFFFFF"/>
            <w:hideMark/>
          </w:tcPr>
          <w:p w14:paraId="399CDDE0"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shd w:val="clear" w:color="auto" w:fill="FFFFFF"/>
            <w:hideMark/>
          </w:tcPr>
          <w:p w14:paraId="51F89A10"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3.13 (0.58 to 12.73) </w:t>
            </w:r>
          </w:p>
        </w:tc>
        <w:tc>
          <w:tcPr>
            <w:tcW w:w="2511" w:type="dxa"/>
            <w:shd w:val="clear" w:color="auto" w:fill="FFFFFF"/>
            <w:hideMark/>
          </w:tcPr>
          <w:p w14:paraId="493B40C9"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2.09 (0.80 to 9.39) </w:t>
            </w:r>
          </w:p>
        </w:tc>
      </w:tr>
      <w:tr w:rsidR="005173BB" w14:paraId="19A6F112" w14:textId="77777777" w:rsidTr="005173BB">
        <w:trPr>
          <w:trHeight w:val="290"/>
          <w:jc w:val="center"/>
        </w:trPr>
        <w:tc>
          <w:tcPr>
            <w:tcW w:w="4280" w:type="dxa"/>
            <w:tcBorders>
              <w:top w:val="nil"/>
              <w:left w:val="nil"/>
              <w:bottom w:val="single" w:sz="4" w:space="0" w:color="auto"/>
              <w:right w:val="nil"/>
            </w:tcBorders>
            <w:shd w:val="clear" w:color="auto" w:fill="FFFFFF"/>
            <w:vAlign w:val="center"/>
            <w:hideMark/>
          </w:tcPr>
          <w:p w14:paraId="5B1F61E8"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difference (95% CI)</w:t>
            </w:r>
          </w:p>
        </w:tc>
        <w:tc>
          <w:tcPr>
            <w:tcW w:w="2511" w:type="dxa"/>
            <w:tcBorders>
              <w:top w:val="nil"/>
              <w:left w:val="nil"/>
              <w:bottom w:val="single" w:sz="4" w:space="0" w:color="auto"/>
              <w:right w:val="nil"/>
            </w:tcBorders>
            <w:shd w:val="clear" w:color="auto" w:fill="FFFFFF"/>
            <w:hideMark/>
          </w:tcPr>
          <w:p w14:paraId="5DFBF4D2"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+0.80% (0.01 to 2.38) </w:t>
            </w:r>
          </w:p>
        </w:tc>
        <w:tc>
          <w:tcPr>
            <w:tcW w:w="2511" w:type="dxa"/>
            <w:tcBorders>
              <w:top w:val="nil"/>
              <w:left w:val="nil"/>
              <w:bottom w:val="single" w:sz="4" w:space="0" w:color="auto"/>
              <w:right w:val="nil"/>
            </w:tcBorders>
            <w:shd w:val="clear" w:color="auto" w:fill="FFFFFF"/>
            <w:hideMark/>
          </w:tcPr>
          <w:p w14:paraId="25EC050A"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0.74% (-0.81 to 3.23) </w:t>
            </w:r>
          </w:p>
        </w:tc>
        <w:tc>
          <w:tcPr>
            <w:tcW w:w="394" w:type="dxa"/>
            <w:tcBorders>
              <w:top w:val="nil"/>
              <w:left w:val="nil"/>
              <w:bottom w:val="single" w:sz="4" w:space="0" w:color="auto"/>
              <w:right w:val="nil"/>
            </w:tcBorders>
            <w:shd w:val="clear" w:color="auto" w:fill="FFFFFF"/>
            <w:hideMark/>
          </w:tcPr>
          <w:p w14:paraId="6A8A27EC"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511" w:type="dxa"/>
            <w:tcBorders>
              <w:top w:val="nil"/>
              <w:left w:val="nil"/>
              <w:bottom w:val="single" w:sz="4" w:space="0" w:color="auto"/>
              <w:right w:val="nil"/>
            </w:tcBorders>
            <w:shd w:val="clear" w:color="auto" w:fill="FFFFFF"/>
            <w:hideMark/>
          </w:tcPr>
          <w:p w14:paraId="512A7A06"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+0.54% (-0.27 to 2.42) </w:t>
            </w:r>
          </w:p>
        </w:tc>
        <w:tc>
          <w:tcPr>
            <w:tcW w:w="2511" w:type="dxa"/>
            <w:tcBorders>
              <w:top w:val="nil"/>
              <w:left w:val="nil"/>
              <w:bottom w:val="single" w:sz="4" w:space="0" w:color="auto"/>
              <w:right w:val="nil"/>
            </w:tcBorders>
            <w:shd w:val="clear" w:color="auto" w:fill="FFFFFF"/>
            <w:hideMark/>
          </w:tcPr>
          <w:p w14:paraId="65982A98"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+0.88% (-0.42 to 4.00) </w:t>
            </w:r>
          </w:p>
        </w:tc>
      </w:tr>
    </w:tbl>
    <w:p w14:paraId="347B0FF0" w14:textId="77777777" w:rsidR="005173BB" w:rsidRDefault="005173BB" w:rsidP="005173BB">
      <w:pPr>
        <w:ind w:firstLine="720"/>
        <w:rPr>
          <w:lang w:val="en-US"/>
        </w:rPr>
      </w:pPr>
      <w:r>
        <w:rPr>
          <w:vertAlign w:val="superscript"/>
          <w:lang w:val="en-US"/>
        </w:rPr>
        <w:t>a</w:t>
      </w:r>
      <w:r>
        <w:rPr>
          <w:lang w:val="en-US"/>
        </w:rPr>
        <w:t>200 iterations were performed for bootstrapping the estimates 95% confidence interval</w:t>
      </w:r>
    </w:p>
    <w:p w14:paraId="701F4034" w14:textId="77777777" w:rsidR="005173BB" w:rsidRDefault="005173BB" w:rsidP="005173BB">
      <w:pPr>
        <w:ind w:firstLine="720"/>
        <w:rPr>
          <w:lang w:val="en-US"/>
        </w:rPr>
      </w:pPr>
      <w:r>
        <w:rPr>
          <w:lang w:val="en-US"/>
        </w:rPr>
        <w:t>Low level: 5</w:t>
      </w:r>
      <w:r>
        <w:rPr>
          <w:vertAlign w:val="superscript"/>
          <w:lang w:val="en-US"/>
        </w:rPr>
        <w:t>th</w:t>
      </w:r>
      <w:r>
        <w:rPr>
          <w:lang w:val="en-US"/>
        </w:rPr>
        <w:t xml:space="preserve"> percentiles of blood lead (0.70 </w:t>
      </w:r>
      <w:r>
        <w:t>μ</w:t>
      </w:r>
      <w:r>
        <w:rPr>
          <w:lang w:val="en-US"/>
        </w:rPr>
        <w:t xml:space="preserve">g/dL or 0.03 </w:t>
      </w:r>
      <w:proofErr w:type="spellStart"/>
      <w:r>
        <w:rPr>
          <w:lang w:val="en-US"/>
        </w:rPr>
        <w:t>umol</w:t>
      </w:r>
      <w:proofErr w:type="spellEnd"/>
      <w:r>
        <w:rPr>
          <w:lang w:val="en-US"/>
        </w:rPr>
        <w:t xml:space="preserve">/L) and urinary cadmium (0.04 </w:t>
      </w:r>
      <w:r>
        <w:t>μ</w:t>
      </w:r>
      <w:r>
        <w:rPr>
          <w:lang w:val="en-US"/>
        </w:rPr>
        <w:t>g/g) distributions</w:t>
      </w:r>
    </w:p>
    <w:p w14:paraId="79EEF8CF" w14:textId="77777777" w:rsidR="005173BB" w:rsidRDefault="005173BB" w:rsidP="005173BB">
      <w:pPr>
        <w:ind w:firstLine="720"/>
        <w:rPr>
          <w:lang w:val="en-US"/>
        </w:rPr>
      </w:pPr>
      <w:r>
        <w:rPr>
          <w:lang w:val="en-US"/>
        </w:rPr>
        <w:t>High level: 95</w:t>
      </w:r>
      <w:r>
        <w:rPr>
          <w:vertAlign w:val="superscript"/>
          <w:lang w:val="en-US"/>
        </w:rPr>
        <w:t>th</w:t>
      </w:r>
      <w:r>
        <w:rPr>
          <w:lang w:val="en-US"/>
        </w:rPr>
        <w:t xml:space="preserve"> percentiles of blood lead (9.70 </w:t>
      </w:r>
      <w:r>
        <w:t>μ</w:t>
      </w:r>
      <w:r>
        <w:rPr>
          <w:lang w:val="en-US"/>
        </w:rPr>
        <w:t xml:space="preserve">g/dL or 0.47 </w:t>
      </w:r>
      <w:proofErr w:type="spellStart"/>
      <w:r>
        <w:rPr>
          <w:lang w:val="en-US"/>
        </w:rPr>
        <w:t>umol</w:t>
      </w:r>
      <w:proofErr w:type="spellEnd"/>
      <w:r>
        <w:rPr>
          <w:lang w:val="en-US"/>
        </w:rPr>
        <w:t xml:space="preserve">/L) and urinary cadmium (1.63 </w:t>
      </w:r>
      <w:r>
        <w:t>μ</w:t>
      </w:r>
      <w:r>
        <w:rPr>
          <w:lang w:val="en-US"/>
        </w:rPr>
        <w:t>g/g) distributions</w:t>
      </w:r>
    </w:p>
    <w:p w14:paraId="5FCC0905" w14:textId="77777777" w:rsidR="005173BB" w:rsidRDefault="005173BB" w:rsidP="005173BB">
      <w:pPr>
        <w:rPr>
          <w:lang w:val="en-US"/>
        </w:rPr>
      </w:pPr>
    </w:p>
    <w:p w14:paraId="3182ED58" w14:textId="77777777" w:rsidR="005173BB" w:rsidRDefault="005173BB" w:rsidP="005173BB">
      <w:pPr>
        <w:rPr>
          <w:lang w:val="en-US"/>
        </w:rPr>
      </w:pPr>
    </w:p>
    <w:p w14:paraId="06D80B5C" w14:textId="77777777" w:rsidR="005173BB" w:rsidRDefault="005173BB" w:rsidP="005173BB">
      <w:pPr>
        <w:rPr>
          <w:lang w:val="en-US"/>
        </w:rPr>
      </w:pPr>
    </w:p>
    <w:p w14:paraId="2938795A" w14:textId="77777777" w:rsidR="005173BB" w:rsidRDefault="005173BB" w:rsidP="005173BB">
      <w:pPr>
        <w:rPr>
          <w:lang w:val="en-US"/>
        </w:rPr>
      </w:pPr>
    </w:p>
    <w:p w14:paraId="76943C9F" w14:textId="77777777" w:rsidR="005173BB" w:rsidRDefault="005173BB" w:rsidP="005173BB">
      <w:pPr>
        <w:autoSpaceDE/>
        <w:autoSpaceDN/>
        <w:rPr>
          <w:lang w:val="en-US"/>
        </w:rPr>
        <w:sectPr w:rsidR="005173BB">
          <w:pgSz w:w="16837" w:h="11905" w:orient="landscape"/>
          <w:pgMar w:top="360" w:right="288" w:bottom="360" w:left="288" w:header="720" w:footer="360" w:gutter="0"/>
          <w:cols w:space="720"/>
        </w:sectPr>
      </w:pPr>
    </w:p>
    <w:p w14:paraId="2FE6922E" w14:textId="77777777" w:rsidR="005173BB" w:rsidRDefault="005173BB" w:rsidP="005173BB">
      <w:pPr>
        <w:rPr>
          <w:lang w:val="en-US"/>
        </w:rPr>
      </w:pPr>
    </w:p>
    <w:p w14:paraId="3B82B046" w14:textId="77777777" w:rsidR="005173BB" w:rsidRDefault="005173BB" w:rsidP="005173BB">
      <w:pPr>
        <w:rPr>
          <w:lang w:val="en-US"/>
        </w:rPr>
      </w:pPr>
    </w:p>
    <w:p w14:paraId="1FB144CC" w14:textId="77777777" w:rsidR="005173BB" w:rsidRDefault="005173BB" w:rsidP="005173BB">
      <w:pPr>
        <w:rPr>
          <w:lang w:val="en-US"/>
        </w:rPr>
      </w:pPr>
    </w:p>
    <w:p w14:paraId="6EA91801" w14:textId="77777777" w:rsidR="005173BB" w:rsidRDefault="005173BB" w:rsidP="005173BB">
      <w:pPr>
        <w:tabs>
          <w:tab w:val="center" w:pos="5592"/>
        </w:tabs>
        <w:rPr>
          <w:lang w:val="en-US"/>
        </w:rPr>
      </w:pPr>
      <w:r>
        <w:rPr>
          <w:b/>
          <w:lang w:val="en-US"/>
        </w:rPr>
        <w:t>A</w:t>
      </w:r>
      <w:r>
        <w:rPr>
          <w:lang w:val="en-US"/>
        </w:rPr>
        <w:t xml:space="preserve"> Blood lead: Women</w:t>
      </w:r>
      <w:r>
        <w:rPr>
          <w:lang w:val="en-US"/>
        </w:rPr>
        <w:tab/>
        <w:t xml:space="preserve">                           </w:t>
      </w:r>
      <w:r>
        <w:rPr>
          <w:b/>
          <w:lang w:val="en-US"/>
        </w:rPr>
        <w:t>B</w:t>
      </w:r>
      <w:r>
        <w:rPr>
          <w:lang w:val="en-US"/>
        </w:rPr>
        <w:t xml:space="preserve"> Blood lead: Men</w:t>
      </w:r>
    </w:p>
    <w:p w14:paraId="680ACCA8" w14:textId="53A5AA4A" w:rsidR="005173BB" w:rsidRDefault="005173BB" w:rsidP="005173BB">
      <w:pPr>
        <w:rPr>
          <w:lang w:val="en-US"/>
        </w:rPr>
      </w:pPr>
      <w:r>
        <w:rPr>
          <w:noProof/>
        </w:rPr>
        <mc:AlternateContent>
          <mc:Choice Requires="wps">
            <w:drawing>
              <wp:anchor distT="0" distB="0" distL="114300" distR="114300" simplePos="0" relativeHeight="251665408" behindDoc="0" locked="0" layoutInCell="1" allowOverlap="1" wp14:anchorId="73BD0103" wp14:editId="20ED88CB">
                <wp:simplePos x="0" y="0"/>
                <wp:positionH relativeFrom="column">
                  <wp:posOffset>53975</wp:posOffset>
                </wp:positionH>
                <wp:positionV relativeFrom="paragraph">
                  <wp:posOffset>69215</wp:posOffset>
                </wp:positionV>
                <wp:extent cx="3392805" cy="3271520"/>
                <wp:effectExtent l="0" t="0" r="17145" b="2413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3271520"/>
                        </a:xfrm>
                        <a:prstGeom prst="rect">
                          <a:avLst/>
                        </a:prstGeom>
                        <a:solidFill>
                          <a:srgbClr val="FFFFFF"/>
                        </a:solidFill>
                        <a:ln w="9525">
                          <a:solidFill>
                            <a:srgbClr val="000000"/>
                          </a:solidFill>
                          <a:miter lim="800000"/>
                          <a:headEnd/>
                          <a:tailEnd/>
                        </a:ln>
                      </wps:spPr>
                      <wps:txbx>
                        <w:txbxContent>
                          <w:p w14:paraId="5A8DBC12" w14:textId="096192FE" w:rsidR="005173BB" w:rsidRDefault="005173BB" w:rsidP="005173BB">
                            <w:r>
                              <w:rPr>
                                <w:rFonts w:ascii="Calibri" w:hAnsi="Calibri" w:cs="Calibri"/>
                                <w:noProof/>
                                <w:lang w:val="en-US" w:eastAsia="en-US"/>
                              </w:rPr>
                              <w:drawing>
                                <wp:inline distT="0" distB="0" distL="0" distR="0" wp14:anchorId="303ACB15" wp14:editId="12E22992">
                                  <wp:extent cx="3200400" cy="3200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BD0103" id="Text Box 18" o:spid="_x0000_s1030" type="#_x0000_t202" style="position:absolute;margin-left:4.25pt;margin-top:5.45pt;width:267.15pt;height:257.6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">
                <v:textbox>
                  <w:txbxContent>
                    <w:p w14:paraId="5A8DBC12" w14:textId="096192FE" w:rsidR="005173BB" w:rsidRDefault="005173BB" w:rsidP="005173BB">
                      <w:r>
                        <w:rPr>
                          <w:rFonts w:ascii="Calibri" w:hAnsi="Calibri" w:cs="Calibri"/>
                          <w:noProof/>
                          <w:lang w:val="en-US" w:eastAsia="en-US"/>
                        </w:rPr>
                        <w:drawing>
                          <wp:inline distT="0" distB="0" distL="0" distR="0" wp14:anchorId="303ACB15" wp14:editId="12E22992">
                            <wp:extent cx="3200400" cy="3200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34DCC1AF" wp14:editId="29A1DC3E">
                <wp:simplePos x="0" y="0"/>
                <wp:positionH relativeFrom="column">
                  <wp:posOffset>3502660</wp:posOffset>
                </wp:positionH>
                <wp:positionV relativeFrom="paragraph">
                  <wp:posOffset>69215</wp:posOffset>
                </wp:positionV>
                <wp:extent cx="3456940" cy="3307715"/>
                <wp:effectExtent l="0" t="0" r="13970" b="2540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305" cy="3307080"/>
                        </a:xfrm>
                        <a:prstGeom prst="rect">
                          <a:avLst/>
                        </a:prstGeom>
                        <a:solidFill>
                          <a:srgbClr val="FFFFFF"/>
                        </a:solidFill>
                        <a:ln w="9525">
                          <a:solidFill>
                            <a:srgbClr val="000000"/>
                          </a:solidFill>
                          <a:miter lim="800000"/>
                          <a:headEnd/>
                          <a:tailEnd/>
                        </a:ln>
                      </wps:spPr>
                      <wps:txbx>
                        <w:txbxContent>
                          <w:p w14:paraId="0B1DAD75" w14:textId="2A6FA7E1" w:rsidR="005173BB" w:rsidRDefault="005173BB" w:rsidP="005173BB">
                            <w:r>
                              <w:rPr>
                                <w:rFonts w:ascii="Calibri" w:hAnsi="Calibri" w:cs="Calibri"/>
                                <w:noProof/>
                                <w:lang w:val="en-US" w:eastAsia="en-US"/>
                              </w:rPr>
                              <w:drawing>
                                <wp:inline distT="0" distB="0" distL="0" distR="0" wp14:anchorId="3F787497" wp14:editId="27C778BD">
                                  <wp:extent cx="3261360" cy="32080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1360" cy="320802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4DCC1AF" id="Text Box 16" o:spid="_x0000_s1031" type="#_x0000_t202" style="position:absolute;margin-left:275.8pt;margin-top:5.45pt;width:272.2pt;height:260.4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">
                <v:textbox style="mso-fit-shape-to-text:t">
                  <w:txbxContent>
                    <w:p w14:paraId="0B1DAD75" w14:textId="2A6FA7E1" w:rsidR="005173BB" w:rsidRDefault="005173BB" w:rsidP="005173BB">
                      <w:r>
                        <w:rPr>
                          <w:rFonts w:ascii="Calibri" w:hAnsi="Calibri" w:cs="Calibri"/>
                          <w:noProof/>
                          <w:lang w:val="en-US" w:eastAsia="en-US"/>
                        </w:rPr>
                        <w:drawing>
                          <wp:inline distT="0" distB="0" distL="0" distR="0" wp14:anchorId="3F787497" wp14:editId="27C778BD">
                            <wp:extent cx="3261360" cy="32080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1360" cy="3208020"/>
                                    </a:xfrm>
                                    <a:prstGeom prst="rect">
                                      <a:avLst/>
                                    </a:prstGeom>
                                    <a:noFill/>
                                    <a:ln>
                                      <a:noFill/>
                                    </a:ln>
                                  </pic:spPr>
                                </pic:pic>
                              </a:graphicData>
                            </a:graphic>
                          </wp:inline>
                        </w:drawing>
                      </w:r>
                    </w:p>
                  </w:txbxContent>
                </v:textbox>
              </v:shape>
            </w:pict>
          </mc:Fallback>
        </mc:AlternateContent>
      </w:r>
    </w:p>
    <w:p w14:paraId="015A3143" w14:textId="77777777" w:rsidR="005173BB" w:rsidRDefault="005173BB" w:rsidP="005173BB">
      <w:pPr>
        <w:rPr>
          <w:lang w:val="en-US"/>
        </w:rPr>
      </w:pPr>
    </w:p>
    <w:p w14:paraId="7C207DDA" w14:textId="77777777" w:rsidR="005173BB" w:rsidRDefault="005173BB" w:rsidP="005173BB">
      <w:pPr>
        <w:rPr>
          <w:lang w:val="en-US"/>
        </w:rPr>
      </w:pPr>
    </w:p>
    <w:p w14:paraId="0588FBFA" w14:textId="77777777" w:rsidR="005173BB" w:rsidRDefault="005173BB" w:rsidP="005173BB">
      <w:pPr>
        <w:rPr>
          <w:lang w:val="en-US"/>
        </w:rPr>
      </w:pPr>
    </w:p>
    <w:p w14:paraId="7337547F" w14:textId="77777777" w:rsidR="005173BB" w:rsidRDefault="005173BB" w:rsidP="005173BB">
      <w:pPr>
        <w:tabs>
          <w:tab w:val="left" w:pos="9626"/>
        </w:tabs>
        <w:rPr>
          <w:lang w:val="en-US"/>
        </w:rPr>
      </w:pPr>
      <w:r>
        <w:rPr>
          <w:lang w:val="en-US"/>
        </w:rPr>
        <w:tab/>
      </w:r>
    </w:p>
    <w:p w14:paraId="2CB1928F" w14:textId="77777777" w:rsidR="005173BB" w:rsidRDefault="005173BB" w:rsidP="005173BB">
      <w:pPr>
        <w:rPr>
          <w:lang w:val="en-US"/>
        </w:rPr>
      </w:pPr>
    </w:p>
    <w:p w14:paraId="33504CB2" w14:textId="77777777" w:rsidR="005173BB" w:rsidRDefault="005173BB" w:rsidP="005173BB">
      <w:pPr>
        <w:rPr>
          <w:lang w:val="en-US"/>
        </w:rPr>
      </w:pPr>
    </w:p>
    <w:p w14:paraId="2A9B0CDA" w14:textId="77777777" w:rsidR="005173BB" w:rsidRDefault="005173BB" w:rsidP="005173BB">
      <w:pPr>
        <w:rPr>
          <w:lang w:val="en-US"/>
        </w:rPr>
      </w:pPr>
    </w:p>
    <w:p w14:paraId="1948C5EA" w14:textId="77777777" w:rsidR="005173BB" w:rsidRDefault="005173BB" w:rsidP="005173BB">
      <w:pPr>
        <w:rPr>
          <w:lang w:val="en-US"/>
        </w:rPr>
      </w:pPr>
    </w:p>
    <w:p w14:paraId="17DD56C3" w14:textId="77777777" w:rsidR="005173BB" w:rsidRDefault="005173BB" w:rsidP="005173BB">
      <w:pPr>
        <w:rPr>
          <w:lang w:val="en-US"/>
        </w:rPr>
      </w:pPr>
    </w:p>
    <w:p w14:paraId="21562586" w14:textId="77777777" w:rsidR="005173BB" w:rsidRDefault="005173BB" w:rsidP="005173BB">
      <w:pPr>
        <w:rPr>
          <w:lang w:val="en-US"/>
        </w:rPr>
      </w:pPr>
    </w:p>
    <w:p w14:paraId="00EA3F61" w14:textId="77777777" w:rsidR="005173BB" w:rsidRDefault="005173BB" w:rsidP="005173BB">
      <w:pPr>
        <w:rPr>
          <w:lang w:val="en-US"/>
        </w:rPr>
      </w:pPr>
    </w:p>
    <w:p w14:paraId="358E1A78" w14:textId="77777777" w:rsidR="005173BB" w:rsidRDefault="005173BB" w:rsidP="005173BB">
      <w:pPr>
        <w:rPr>
          <w:lang w:val="en-US"/>
        </w:rPr>
      </w:pPr>
    </w:p>
    <w:p w14:paraId="279A4A35" w14:textId="77777777" w:rsidR="005173BB" w:rsidRDefault="005173BB" w:rsidP="005173BB">
      <w:pPr>
        <w:rPr>
          <w:lang w:val="en-US"/>
        </w:rPr>
      </w:pPr>
    </w:p>
    <w:p w14:paraId="651DA5AC" w14:textId="77777777" w:rsidR="005173BB" w:rsidRDefault="005173BB" w:rsidP="005173BB">
      <w:pPr>
        <w:rPr>
          <w:lang w:val="en-US"/>
        </w:rPr>
      </w:pPr>
    </w:p>
    <w:p w14:paraId="3D69B032" w14:textId="77777777" w:rsidR="005173BB" w:rsidRDefault="005173BB" w:rsidP="005173BB">
      <w:pPr>
        <w:rPr>
          <w:lang w:val="en-US"/>
        </w:rPr>
      </w:pPr>
    </w:p>
    <w:p w14:paraId="1A99398B" w14:textId="77777777" w:rsidR="005173BB" w:rsidRDefault="005173BB" w:rsidP="005173BB">
      <w:pPr>
        <w:rPr>
          <w:lang w:val="en-US"/>
        </w:rPr>
      </w:pPr>
    </w:p>
    <w:p w14:paraId="03415900" w14:textId="77777777" w:rsidR="005173BB" w:rsidRDefault="005173BB" w:rsidP="005173BB">
      <w:pPr>
        <w:rPr>
          <w:lang w:val="en-US"/>
        </w:rPr>
      </w:pPr>
    </w:p>
    <w:p w14:paraId="7CFFFDC2" w14:textId="77777777" w:rsidR="005173BB" w:rsidRDefault="005173BB" w:rsidP="005173BB">
      <w:pPr>
        <w:rPr>
          <w:lang w:val="en-US"/>
        </w:rPr>
      </w:pPr>
    </w:p>
    <w:p w14:paraId="03B6F47E" w14:textId="77777777" w:rsidR="005173BB" w:rsidRDefault="005173BB" w:rsidP="005173BB">
      <w:pPr>
        <w:rPr>
          <w:lang w:val="en-US"/>
        </w:rPr>
      </w:pPr>
    </w:p>
    <w:p w14:paraId="1CCE374E" w14:textId="77777777" w:rsidR="005173BB" w:rsidRDefault="005173BB" w:rsidP="005173BB">
      <w:pPr>
        <w:rPr>
          <w:lang w:val="en-US"/>
        </w:rPr>
      </w:pPr>
    </w:p>
    <w:p w14:paraId="2E2C6149" w14:textId="77777777" w:rsidR="005173BB" w:rsidRDefault="005173BB" w:rsidP="005173BB">
      <w:pPr>
        <w:rPr>
          <w:lang w:val="en-US"/>
        </w:rPr>
      </w:pPr>
    </w:p>
    <w:p w14:paraId="779CFEF7" w14:textId="77777777" w:rsidR="005173BB" w:rsidRDefault="005173BB" w:rsidP="005173BB">
      <w:pPr>
        <w:rPr>
          <w:lang w:val="en-US"/>
        </w:rPr>
      </w:pPr>
    </w:p>
    <w:p w14:paraId="5CEE3494" w14:textId="77777777" w:rsidR="005173BB" w:rsidRDefault="005173BB" w:rsidP="005173BB">
      <w:pPr>
        <w:rPr>
          <w:lang w:val="en-US"/>
        </w:rPr>
      </w:pPr>
    </w:p>
    <w:p w14:paraId="3963EC81" w14:textId="77777777" w:rsidR="005173BB" w:rsidRDefault="005173BB" w:rsidP="005173BB">
      <w:pPr>
        <w:tabs>
          <w:tab w:val="center" w:pos="5592"/>
        </w:tabs>
        <w:rPr>
          <w:lang w:val="en-US"/>
        </w:rPr>
      </w:pPr>
      <w:r>
        <w:rPr>
          <w:b/>
          <w:lang w:val="en-US"/>
        </w:rPr>
        <w:t xml:space="preserve"> A</w:t>
      </w:r>
      <w:r>
        <w:rPr>
          <w:lang w:val="en-US"/>
        </w:rPr>
        <w:t xml:space="preserve"> Urinary cadmium: Women</w:t>
      </w:r>
      <w:r>
        <w:rPr>
          <w:lang w:val="en-US"/>
        </w:rPr>
        <w:tab/>
        <w:t xml:space="preserve">                                      </w:t>
      </w:r>
      <w:r>
        <w:rPr>
          <w:b/>
          <w:lang w:val="en-US"/>
        </w:rPr>
        <w:t>B</w:t>
      </w:r>
      <w:r>
        <w:rPr>
          <w:lang w:val="en-US"/>
        </w:rPr>
        <w:t xml:space="preserve"> Urinary cadmium: Men</w:t>
      </w:r>
    </w:p>
    <w:p w14:paraId="4974E96E" w14:textId="4E2EE1B6" w:rsidR="005173BB" w:rsidRDefault="005173BB" w:rsidP="005173BB">
      <w:pPr>
        <w:rPr>
          <w:lang w:val="en-US"/>
        </w:rPr>
      </w:pPr>
      <w:r>
        <w:rPr>
          <w:noProof/>
        </w:rPr>
        <mc:AlternateContent>
          <mc:Choice Requires="wps">
            <w:drawing>
              <wp:anchor distT="0" distB="0" distL="114300" distR="114300" simplePos="0" relativeHeight="251667456" behindDoc="0" locked="0" layoutInCell="1" allowOverlap="1" wp14:anchorId="13FF1824" wp14:editId="60C3AF74">
                <wp:simplePos x="0" y="0"/>
                <wp:positionH relativeFrom="column">
                  <wp:posOffset>53975</wp:posOffset>
                </wp:positionH>
                <wp:positionV relativeFrom="paragraph">
                  <wp:posOffset>69215</wp:posOffset>
                </wp:positionV>
                <wp:extent cx="3392805" cy="3271520"/>
                <wp:effectExtent l="0" t="0" r="17145" b="2413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3271520"/>
                        </a:xfrm>
                        <a:prstGeom prst="rect">
                          <a:avLst/>
                        </a:prstGeom>
                        <a:solidFill>
                          <a:srgbClr val="FFFFFF"/>
                        </a:solidFill>
                        <a:ln w="9525">
                          <a:solidFill>
                            <a:srgbClr val="000000"/>
                          </a:solidFill>
                          <a:miter lim="800000"/>
                          <a:headEnd/>
                          <a:tailEnd/>
                        </a:ln>
                      </wps:spPr>
                      <wps:txbx>
                        <w:txbxContent>
                          <w:p w14:paraId="602C1D05" w14:textId="548DE76C" w:rsidR="005173BB" w:rsidRDefault="005173BB" w:rsidP="005173BB">
                            <w:r>
                              <w:rPr>
                                <w:rFonts w:ascii="Calibri" w:hAnsi="Calibri" w:cs="Calibri"/>
                                <w:noProof/>
                                <w:lang w:val="en-US" w:eastAsia="en-US"/>
                              </w:rPr>
                              <w:drawing>
                                <wp:inline distT="0" distB="0" distL="0" distR="0" wp14:anchorId="2B3D0D18" wp14:editId="642AAF24">
                                  <wp:extent cx="3200400" cy="3200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FF1824" id="Text Box 14" o:spid="_x0000_s1032" type="#_x0000_t202" style="position:absolute;margin-left:4.25pt;margin-top:5.45pt;width:267.15pt;height:257.6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">
                <v:textbox>
                  <w:txbxContent>
                    <w:p w14:paraId="602C1D05" w14:textId="548DE76C" w:rsidR="005173BB" w:rsidRDefault="005173BB" w:rsidP="005173BB">
                      <w:r>
                        <w:rPr>
                          <w:rFonts w:ascii="Calibri" w:hAnsi="Calibri" w:cs="Calibri"/>
                          <w:noProof/>
                          <w:lang w:val="en-US" w:eastAsia="en-US"/>
                        </w:rPr>
                        <w:drawing>
                          <wp:inline distT="0" distB="0" distL="0" distR="0" wp14:anchorId="2B3D0D18" wp14:editId="642AAF24">
                            <wp:extent cx="3200400" cy="3200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3C4DCE15" wp14:editId="7204E6D9">
                <wp:simplePos x="0" y="0"/>
                <wp:positionH relativeFrom="column">
                  <wp:posOffset>3502660</wp:posOffset>
                </wp:positionH>
                <wp:positionV relativeFrom="paragraph">
                  <wp:posOffset>69215</wp:posOffset>
                </wp:positionV>
                <wp:extent cx="3411855" cy="3282315"/>
                <wp:effectExtent l="0" t="0" r="17145" b="139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1855" cy="3281680"/>
                        </a:xfrm>
                        <a:prstGeom prst="rect">
                          <a:avLst/>
                        </a:prstGeom>
                        <a:solidFill>
                          <a:srgbClr val="FFFFFF"/>
                        </a:solidFill>
                        <a:ln w="9525">
                          <a:solidFill>
                            <a:srgbClr val="000000"/>
                          </a:solidFill>
                          <a:miter lim="800000"/>
                          <a:headEnd/>
                          <a:tailEnd/>
                        </a:ln>
                      </wps:spPr>
                      <wps:txbx>
                        <w:txbxContent>
                          <w:p w14:paraId="541A060E" w14:textId="64F9F7E9" w:rsidR="005173BB" w:rsidRDefault="005173BB" w:rsidP="005173BB">
                            <w:r>
                              <w:rPr>
                                <w:rFonts w:ascii="Calibri" w:hAnsi="Calibri" w:cs="Calibri"/>
                                <w:noProof/>
                                <w:lang w:val="en-US" w:eastAsia="en-US"/>
                              </w:rPr>
                              <w:drawing>
                                <wp:inline distT="0" distB="0" distL="0" distR="0" wp14:anchorId="2E00145D" wp14:editId="03A17B0B">
                                  <wp:extent cx="3219450" cy="31813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19450" cy="3181350"/>
                                          </a:xfrm>
                                          <a:prstGeom prst="rect">
                                            <a:avLst/>
                                          </a:prstGeom>
                                          <a:noFill/>
                                          <a:ln>
                                            <a:noFill/>
                                          </a:ln>
                                        </pic:spPr>
                                      </pic:pic>
                                    </a:graphicData>
                                  </a:graphic>
                                </wp:inline>
                              </w:drawing>
                            </w:r>
                          </w:p>
                        </w:txbxContent>
                      </wps:txbx>
                      <wps:bodyPr rot="0" vertOverflow="clip" horzOverflow="clip"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C4DCE15" id="Text Box 9" o:spid="_x0000_s1033" type="#_x0000_t202" style="position:absolute;margin-left:275.8pt;margin-top:5.45pt;width:268.65pt;height:258.4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">
                <v:textbox style="mso-fit-shape-to-text:t">
                  <w:txbxContent>
                    <w:p w14:paraId="541A060E" w14:textId="64F9F7E9" w:rsidR="005173BB" w:rsidRDefault="005173BB" w:rsidP="005173BB">
                      <w:r>
                        <w:rPr>
                          <w:rFonts w:ascii="Calibri" w:hAnsi="Calibri" w:cs="Calibri"/>
                          <w:noProof/>
                          <w:lang w:val="en-US" w:eastAsia="en-US"/>
                        </w:rPr>
                        <w:drawing>
                          <wp:inline distT="0" distB="0" distL="0" distR="0" wp14:anchorId="2E00145D" wp14:editId="03A17B0B">
                            <wp:extent cx="3219450" cy="31813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19450" cy="3181350"/>
                                    </a:xfrm>
                                    <a:prstGeom prst="rect">
                                      <a:avLst/>
                                    </a:prstGeom>
                                    <a:noFill/>
                                    <a:ln>
                                      <a:noFill/>
                                    </a:ln>
                                  </pic:spPr>
                                </pic:pic>
                              </a:graphicData>
                            </a:graphic>
                          </wp:inline>
                        </w:drawing>
                      </w:r>
                    </w:p>
                  </w:txbxContent>
                </v:textbox>
              </v:shape>
            </w:pict>
          </mc:Fallback>
        </mc:AlternateContent>
      </w:r>
    </w:p>
    <w:p w14:paraId="252BEF43" w14:textId="77777777" w:rsidR="005173BB" w:rsidRDefault="005173BB" w:rsidP="005173BB">
      <w:pPr>
        <w:rPr>
          <w:lang w:val="en-US"/>
        </w:rPr>
      </w:pPr>
    </w:p>
    <w:p w14:paraId="2186B010" w14:textId="77777777" w:rsidR="005173BB" w:rsidRDefault="005173BB" w:rsidP="005173BB">
      <w:pPr>
        <w:rPr>
          <w:lang w:val="en-US"/>
        </w:rPr>
      </w:pPr>
    </w:p>
    <w:p w14:paraId="471D1DAB" w14:textId="77777777" w:rsidR="005173BB" w:rsidRDefault="005173BB" w:rsidP="005173BB">
      <w:pPr>
        <w:rPr>
          <w:lang w:val="en-US"/>
        </w:rPr>
      </w:pPr>
    </w:p>
    <w:p w14:paraId="43080A61" w14:textId="77777777" w:rsidR="005173BB" w:rsidRDefault="005173BB" w:rsidP="005173BB">
      <w:pPr>
        <w:tabs>
          <w:tab w:val="left" w:pos="9626"/>
        </w:tabs>
        <w:rPr>
          <w:lang w:val="en-US"/>
        </w:rPr>
      </w:pPr>
      <w:r>
        <w:rPr>
          <w:lang w:val="en-US"/>
        </w:rPr>
        <w:tab/>
      </w:r>
    </w:p>
    <w:p w14:paraId="2682FC3D" w14:textId="77777777" w:rsidR="005173BB" w:rsidRDefault="005173BB" w:rsidP="005173BB">
      <w:pPr>
        <w:rPr>
          <w:lang w:val="en-US"/>
        </w:rPr>
      </w:pPr>
    </w:p>
    <w:p w14:paraId="0A137134" w14:textId="77777777" w:rsidR="005173BB" w:rsidRDefault="005173BB" w:rsidP="005173BB">
      <w:pPr>
        <w:rPr>
          <w:lang w:val="en-US"/>
        </w:rPr>
      </w:pPr>
    </w:p>
    <w:p w14:paraId="26EA7E7B" w14:textId="77777777" w:rsidR="005173BB" w:rsidRDefault="005173BB" w:rsidP="005173BB">
      <w:pPr>
        <w:rPr>
          <w:lang w:val="en-US"/>
        </w:rPr>
      </w:pPr>
    </w:p>
    <w:p w14:paraId="0D02FD11" w14:textId="77777777" w:rsidR="005173BB" w:rsidRDefault="005173BB" w:rsidP="005173BB">
      <w:pPr>
        <w:rPr>
          <w:lang w:val="en-US"/>
        </w:rPr>
      </w:pPr>
    </w:p>
    <w:p w14:paraId="46B33A7C" w14:textId="77777777" w:rsidR="005173BB" w:rsidRDefault="005173BB" w:rsidP="005173BB">
      <w:pPr>
        <w:rPr>
          <w:lang w:val="en-US"/>
        </w:rPr>
      </w:pPr>
    </w:p>
    <w:p w14:paraId="64D7818F" w14:textId="77777777" w:rsidR="005173BB" w:rsidRDefault="005173BB" w:rsidP="005173BB">
      <w:pPr>
        <w:rPr>
          <w:lang w:val="en-US"/>
        </w:rPr>
      </w:pPr>
    </w:p>
    <w:p w14:paraId="3A9234F9" w14:textId="77777777" w:rsidR="005173BB" w:rsidRDefault="005173BB" w:rsidP="005173BB">
      <w:pPr>
        <w:rPr>
          <w:lang w:val="en-US"/>
        </w:rPr>
      </w:pPr>
    </w:p>
    <w:p w14:paraId="16070F20" w14:textId="77777777" w:rsidR="005173BB" w:rsidRDefault="005173BB" w:rsidP="005173BB">
      <w:pPr>
        <w:rPr>
          <w:lang w:val="en-US"/>
        </w:rPr>
      </w:pPr>
    </w:p>
    <w:p w14:paraId="27DBE9DC" w14:textId="77777777" w:rsidR="005173BB" w:rsidRDefault="005173BB" w:rsidP="005173BB">
      <w:pPr>
        <w:tabs>
          <w:tab w:val="left" w:pos="9626"/>
        </w:tabs>
        <w:rPr>
          <w:lang w:val="en-US"/>
        </w:rPr>
      </w:pPr>
      <w:r>
        <w:rPr>
          <w:lang w:val="en-US"/>
        </w:rPr>
        <w:tab/>
      </w:r>
    </w:p>
    <w:p w14:paraId="3AA76F58" w14:textId="77777777" w:rsidR="005173BB" w:rsidRDefault="005173BB" w:rsidP="005173BB">
      <w:pPr>
        <w:rPr>
          <w:lang w:val="en-US"/>
        </w:rPr>
      </w:pPr>
    </w:p>
    <w:p w14:paraId="44675551" w14:textId="77777777" w:rsidR="005173BB" w:rsidRDefault="005173BB" w:rsidP="005173BB">
      <w:pPr>
        <w:rPr>
          <w:lang w:val="en-US"/>
        </w:rPr>
      </w:pPr>
    </w:p>
    <w:p w14:paraId="4B40CFCE" w14:textId="77777777" w:rsidR="005173BB" w:rsidRDefault="005173BB" w:rsidP="005173BB">
      <w:pPr>
        <w:rPr>
          <w:lang w:val="en-US"/>
        </w:rPr>
      </w:pPr>
    </w:p>
    <w:p w14:paraId="1070E157" w14:textId="77777777" w:rsidR="005173BB" w:rsidRDefault="005173BB" w:rsidP="005173BB">
      <w:pPr>
        <w:rPr>
          <w:lang w:val="en-US"/>
        </w:rPr>
      </w:pPr>
    </w:p>
    <w:p w14:paraId="55816F5E" w14:textId="77777777" w:rsidR="005173BB" w:rsidRDefault="005173BB" w:rsidP="005173BB">
      <w:pPr>
        <w:rPr>
          <w:lang w:val="en-US"/>
        </w:rPr>
      </w:pPr>
    </w:p>
    <w:p w14:paraId="619A3BCB" w14:textId="77777777" w:rsidR="005173BB" w:rsidRDefault="005173BB" w:rsidP="005173BB">
      <w:pPr>
        <w:rPr>
          <w:lang w:val="en-US"/>
        </w:rPr>
      </w:pPr>
    </w:p>
    <w:p w14:paraId="74F4C1FF" w14:textId="77777777" w:rsidR="005173BB" w:rsidRDefault="005173BB" w:rsidP="005173BB">
      <w:pPr>
        <w:rPr>
          <w:lang w:val="en-US"/>
        </w:rPr>
      </w:pPr>
    </w:p>
    <w:p w14:paraId="6CC33903" w14:textId="77777777" w:rsidR="005173BB" w:rsidRDefault="005173BB" w:rsidP="005173BB">
      <w:pPr>
        <w:rPr>
          <w:sz w:val="24"/>
          <w:lang w:val="en-US"/>
        </w:rPr>
      </w:pPr>
    </w:p>
    <w:p w14:paraId="186F1F27" w14:textId="77777777" w:rsidR="005173BB" w:rsidRDefault="005173BB" w:rsidP="005173BB">
      <w:pPr>
        <w:rPr>
          <w:sz w:val="24"/>
          <w:lang w:val="en-US"/>
        </w:rPr>
      </w:pPr>
    </w:p>
    <w:p w14:paraId="7A0AE6C4" w14:textId="77777777" w:rsidR="005173BB" w:rsidRDefault="005173BB" w:rsidP="005173BB">
      <w:pPr>
        <w:rPr>
          <w:sz w:val="24"/>
          <w:lang w:val="en-US"/>
        </w:rPr>
      </w:pPr>
    </w:p>
    <w:p w14:paraId="0F43F7F9" w14:textId="77777777" w:rsidR="005173BB" w:rsidRDefault="005173BB" w:rsidP="005173BB">
      <w:pPr>
        <w:jc w:val="both"/>
        <w:rPr>
          <w:sz w:val="24"/>
          <w:lang w:val="en-US"/>
        </w:rPr>
      </w:pPr>
      <w:r>
        <w:rPr>
          <w:sz w:val="24"/>
          <w:lang w:val="en-US"/>
        </w:rPr>
        <w:t xml:space="preserve">Figure S3: Adjusted all-cause and specific-cause of mortality risk stratified by sex using parametric g-formula with pooled logistic regression models. </w:t>
      </w:r>
      <w:r>
        <w:rPr>
          <w:sz w:val="24"/>
          <w:szCs w:val="24"/>
          <w:lang w:val="en-US"/>
        </w:rPr>
        <w:t xml:space="preserve">The solid line represents the percentile 5 (0.70 </w:t>
      </w:r>
      <w:r>
        <w:rPr>
          <w:sz w:val="24"/>
          <w:szCs w:val="24"/>
        </w:rPr>
        <w:t>μ</w:t>
      </w:r>
      <w:r>
        <w:rPr>
          <w:sz w:val="24"/>
          <w:szCs w:val="24"/>
          <w:lang w:val="en-US"/>
        </w:rPr>
        <w:t xml:space="preserve">g/dL for lead and 0.04 </w:t>
      </w:r>
      <w:r>
        <w:rPr>
          <w:rFonts w:eastAsia="Gungsuh"/>
          <w:sz w:val="24"/>
          <w:szCs w:val="24"/>
        </w:rPr>
        <w:t>μ</w:t>
      </w:r>
      <w:r>
        <w:rPr>
          <w:rFonts w:eastAsia="Gungsuh"/>
          <w:sz w:val="24"/>
          <w:szCs w:val="24"/>
          <w:lang w:val="en-US"/>
        </w:rPr>
        <w:t>g/g</w:t>
      </w:r>
      <w:r>
        <w:rPr>
          <w:sz w:val="24"/>
          <w:szCs w:val="24"/>
          <w:lang w:val="en-US"/>
        </w:rPr>
        <w:t xml:space="preserve"> for cadmium) and the dashed lines the percentile 95 (9.70 </w:t>
      </w:r>
      <w:r>
        <w:rPr>
          <w:sz w:val="24"/>
          <w:szCs w:val="24"/>
        </w:rPr>
        <w:t>μ</w:t>
      </w:r>
      <w:r>
        <w:rPr>
          <w:sz w:val="24"/>
          <w:szCs w:val="24"/>
          <w:lang w:val="en-US"/>
        </w:rPr>
        <w:t xml:space="preserve">g/dL for lead and 1.63 </w:t>
      </w:r>
      <w:r>
        <w:rPr>
          <w:rFonts w:eastAsia="Gungsuh"/>
          <w:sz w:val="24"/>
          <w:szCs w:val="24"/>
        </w:rPr>
        <w:t>μ</w:t>
      </w:r>
      <w:r>
        <w:rPr>
          <w:rFonts w:eastAsia="Gungsuh"/>
          <w:sz w:val="24"/>
          <w:szCs w:val="24"/>
          <w:lang w:val="en-US"/>
        </w:rPr>
        <w:t xml:space="preserve">g/g </w:t>
      </w:r>
      <w:r>
        <w:rPr>
          <w:sz w:val="24"/>
          <w:szCs w:val="24"/>
          <w:lang w:val="en-US"/>
        </w:rPr>
        <w:t>for cadmium). Robust 95% confidence intervals (CIs) for each exposure category estimated by bootstrapping (in the pooled logistic regression model</w:t>
      </w:r>
      <w:r>
        <w:rPr>
          <w:b/>
          <w:bCs/>
          <w:sz w:val="24"/>
          <w:szCs w:val="24"/>
          <w:lang w:val="en-US"/>
        </w:rPr>
        <w:t>)</w:t>
      </w:r>
      <w:r>
        <w:rPr>
          <w:sz w:val="24"/>
          <w:szCs w:val="24"/>
          <w:lang w:val="en-US"/>
        </w:rPr>
        <w:t> are presented in Table</w:t>
      </w:r>
      <w:r>
        <w:rPr>
          <w:sz w:val="24"/>
          <w:lang w:val="en-US"/>
        </w:rPr>
        <w:t> S2.</w:t>
      </w:r>
    </w:p>
    <w:p w14:paraId="3D8CCE38" w14:textId="77777777" w:rsidR="005173BB" w:rsidRDefault="005173BB" w:rsidP="005173BB">
      <w:pPr>
        <w:tabs>
          <w:tab w:val="left" w:pos="1920"/>
        </w:tabs>
        <w:rPr>
          <w:lang w:val="en-US"/>
        </w:rPr>
      </w:pPr>
    </w:p>
    <w:p w14:paraId="5DD00E1D" w14:textId="77777777" w:rsidR="005173BB" w:rsidRDefault="005173BB" w:rsidP="005173BB">
      <w:pPr>
        <w:tabs>
          <w:tab w:val="left" w:pos="1920"/>
        </w:tabs>
        <w:rPr>
          <w:lang w:val="en-US"/>
        </w:rPr>
      </w:pPr>
      <w:r>
        <w:rPr>
          <w:lang w:val="en-US"/>
        </w:rPr>
        <w:tab/>
      </w:r>
    </w:p>
    <w:p w14:paraId="11BA4B39" w14:textId="77777777" w:rsidR="005173BB" w:rsidRDefault="005173BB" w:rsidP="005173BB">
      <w:pPr>
        <w:autoSpaceDE/>
        <w:autoSpaceDN/>
        <w:rPr>
          <w:lang w:val="en-US"/>
        </w:rPr>
        <w:sectPr w:rsidR="005173BB">
          <w:pgSz w:w="11905" w:h="16837"/>
          <w:pgMar w:top="288" w:right="360" w:bottom="288" w:left="360" w:header="720" w:footer="360" w:gutter="0"/>
          <w:cols w:space="720"/>
        </w:sectPr>
      </w:pPr>
    </w:p>
    <w:p w14:paraId="32E497A2" w14:textId="77777777" w:rsidR="005173BB" w:rsidRDefault="005173BB" w:rsidP="005173BB">
      <w:pPr>
        <w:rPr>
          <w:sz w:val="24"/>
          <w:vertAlign w:val="superscript"/>
          <w:lang w:val="en-US"/>
        </w:rPr>
      </w:pPr>
      <w:r>
        <w:rPr>
          <w:sz w:val="24"/>
          <w:lang w:val="en-US"/>
        </w:rPr>
        <w:lastRenderedPageBreak/>
        <w:t xml:space="preserve">Table S2: Adjusted all-cause and specific-cause of mortality risk ratio and risk difference at the end of follow-up stratified by sex using parametric g-formula with pooled logistic regression </w:t>
      </w:r>
      <w:proofErr w:type="spellStart"/>
      <w:r>
        <w:rPr>
          <w:sz w:val="24"/>
          <w:lang w:val="en-US"/>
        </w:rPr>
        <w:t>models</w:t>
      </w:r>
      <w:r>
        <w:rPr>
          <w:sz w:val="24"/>
          <w:vertAlign w:val="superscript"/>
          <w:lang w:val="en-US"/>
        </w:rPr>
        <w:t>a</w:t>
      </w:r>
      <w:proofErr w:type="spellEnd"/>
    </w:p>
    <w:p w14:paraId="0699F819" w14:textId="77777777" w:rsidR="005173BB" w:rsidRDefault="005173BB" w:rsidP="005173BB">
      <w:pPr>
        <w:rPr>
          <w:sz w:val="24"/>
          <w:lang w:val="en-US"/>
        </w:rPr>
      </w:pPr>
    </w:p>
    <w:tbl>
      <w:tblPr>
        <w:tblW w:w="15011" w:type="dxa"/>
        <w:jc w:val="center"/>
        <w:tblLook w:val="04A0" w:firstRow="1" w:lastRow="0" w:firstColumn="1" w:lastColumn="0" w:noHBand="0" w:noVBand="1"/>
      </w:tblPr>
      <w:tblGrid>
        <w:gridCol w:w="4280"/>
        <w:gridCol w:w="2511"/>
        <w:gridCol w:w="2511"/>
        <w:gridCol w:w="394"/>
        <w:gridCol w:w="2633"/>
        <w:gridCol w:w="2682"/>
      </w:tblGrid>
      <w:tr w:rsidR="005173BB" w14:paraId="7EE1685B" w14:textId="77777777" w:rsidTr="005173BB">
        <w:trPr>
          <w:trHeight w:val="332"/>
          <w:jc w:val="center"/>
        </w:trPr>
        <w:tc>
          <w:tcPr>
            <w:tcW w:w="4280" w:type="dxa"/>
            <w:tcBorders>
              <w:top w:val="single" w:sz="4" w:space="0" w:color="auto"/>
              <w:left w:val="nil"/>
              <w:bottom w:val="single" w:sz="4" w:space="0" w:color="auto"/>
              <w:right w:val="nil"/>
            </w:tcBorders>
            <w:noWrap/>
            <w:vAlign w:val="bottom"/>
            <w:hideMark/>
          </w:tcPr>
          <w:p w14:paraId="5BCF8D2E" w14:textId="77777777" w:rsidR="005173BB" w:rsidRDefault="005173BB">
            <w:pPr>
              <w:autoSpaceDE/>
              <w:rPr>
                <w:rFonts w:ascii="Calibri" w:hAnsi="Calibri" w:cs="Calibri"/>
                <w:color w:val="000000"/>
                <w:sz w:val="22"/>
                <w:szCs w:val="22"/>
                <w:lang w:val="en-US" w:eastAsia="en-US"/>
              </w:rPr>
            </w:pPr>
            <w:r>
              <w:rPr>
                <w:rFonts w:ascii="Calibri" w:hAnsi="Calibri" w:cs="Calibri"/>
                <w:color w:val="000000"/>
                <w:sz w:val="22"/>
                <w:szCs w:val="22"/>
                <w:lang w:val="en-US" w:eastAsia="en-US"/>
              </w:rPr>
              <w:t> </w:t>
            </w:r>
          </w:p>
        </w:tc>
        <w:tc>
          <w:tcPr>
            <w:tcW w:w="5022" w:type="dxa"/>
            <w:gridSpan w:val="2"/>
            <w:tcBorders>
              <w:top w:val="single" w:sz="4" w:space="0" w:color="auto"/>
              <w:left w:val="nil"/>
              <w:bottom w:val="single" w:sz="4" w:space="0" w:color="auto"/>
              <w:right w:val="nil"/>
            </w:tcBorders>
            <w:noWrap/>
            <w:vAlign w:val="bottom"/>
            <w:hideMark/>
          </w:tcPr>
          <w:p w14:paraId="4467FD18" w14:textId="77777777" w:rsidR="005173BB" w:rsidRDefault="005173BB">
            <w:pPr>
              <w:autoSpaceDE/>
              <w:jc w:val="center"/>
              <w:rPr>
                <w:rFonts w:ascii="Calibri" w:hAnsi="Calibri" w:cs="Calibri"/>
                <w:b/>
                <w:color w:val="000000"/>
                <w:sz w:val="22"/>
                <w:szCs w:val="22"/>
                <w:lang w:val="en-US" w:eastAsia="en-US"/>
              </w:rPr>
            </w:pPr>
            <w:r>
              <w:rPr>
                <w:rFonts w:ascii="Calibri" w:hAnsi="Calibri" w:cs="Calibri"/>
                <w:b/>
                <w:color w:val="000000"/>
                <w:sz w:val="22"/>
                <w:szCs w:val="22"/>
                <w:lang w:val="en-US" w:eastAsia="en-US"/>
              </w:rPr>
              <w:t xml:space="preserve">Blood </w:t>
            </w:r>
            <w:proofErr w:type="gramStart"/>
            <w:r>
              <w:rPr>
                <w:rFonts w:ascii="Calibri" w:hAnsi="Calibri" w:cs="Calibri"/>
                <w:b/>
                <w:color w:val="000000"/>
                <w:sz w:val="22"/>
                <w:szCs w:val="22"/>
                <w:lang w:val="en-US" w:eastAsia="en-US"/>
              </w:rPr>
              <w:t>lead</w:t>
            </w:r>
            <w:proofErr w:type="gramEnd"/>
          </w:p>
        </w:tc>
        <w:tc>
          <w:tcPr>
            <w:tcW w:w="394" w:type="dxa"/>
            <w:tcBorders>
              <w:top w:val="single" w:sz="4" w:space="0" w:color="auto"/>
              <w:left w:val="nil"/>
              <w:bottom w:val="single" w:sz="8" w:space="0" w:color="CFD5E4"/>
              <w:right w:val="nil"/>
            </w:tcBorders>
            <w:noWrap/>
            <w:vAlign w:val="bottom"/>
            <w:hideMark/>
          </w:tcPr>
          <w:p w14:paraId="64656453" w14:textId="77777777" w:rsidR="005173BB" w:rsidRDefault="005173BB">
            <w:pPr>
              <w:autoSpaceDE/>
              <w:jc w:val="center"/>
              <w:rPr>
                <w:rFonts w:ascii="Calibri" w:hAnsi="Calibri" w:cs="Calibri"/>
                <w:color w:val="000000"/>
                <w:sz w:val="22"/>
                <w:szCs w:val="22"/>
                <w:lang w:val="en-US" w:eastAsia="en-US"/>
              </w:rPr>
            </w:pPr>
            <w:r>
              <w:rPr>
                <w:rFonts w:ascii="Calibri" w:hAnsi="Calibri" w:cs="Calibri"/>
                <w:color w:val="000000"/>
                <w:sz w:val="22"/>
                <w:szCs w:val="22"/>
                <w:lang w:val="en-US" w:eastAsia="en-US"/>
              </w:rPr>
              <w:t> </w:t>
            </w:r>
          </w:p>
        </w:tc>
        <w:tc>
          <w:tcPr>
            <w:tcW w:w="5315" w:type="dxa"/>
            <w:gridSpan w:val="2"/>
            <w:tcBorders>
              <w:top w:val="single" w:sz="4" w:space="0" w:color="auto"/>
              <w:left w:val="nil"/>
              <w:bottom w:val="single" w:sz="4" w:space="0" w:color="auto"/>
              <w:right w:val="nil"/>
            </w:tcBorders>
            <w:noWrap/>
            <w:vAlign w:val="bottom"/>
            <w:hideMark/>
          </w:tcPr>
          <w:p w14:paraId="20C69F7E" w14:textId="77777777" w:rsidR="005173BB" w:rsidRDefault="005173BB">
            <w:pPr>
              <w:autoSpaceDE/>
              <w:jc w:val="center"/>
              <w:rPr>
                <w:rFonts w:ascii="Calibri" w:hAnsi="Calibri" w:cs="Calibri"/>
                <w:b/>
                <w:color w:val="000000"/>
                <w:sz w:val="22"/>
                <w:szCs w:val="22"/>
                <w:lang w:val="en-US" w:eastAsia="en-US"/>
              </w:rPr>
            </w:pPr>
            <w:r>
              <w:rPr>
                <w:rFonts w:ascii="Calibri" w:hAnsi="Calibri" w:cs="Calibri"/>
                <w:b/>
                <w:color w:val="000000"/>
                <w:sz w:val="22"/>
                <w:szCs w:val="22"/>
                <w:lang w:val="en-US" w:eastAsia="en-US"/>
              </w:rPr>
              <w:t xml:space="preserve">Urinary cadmium </w:t>
            </w:r>
          </w:p>
        </w:tc>
      </w:tr>
      <w:tr w:rsidR="005173BB" w14:paraId="7F38A807" w14:textId="77777777" w:rsidTr="005173BB">
        <w:trPr>
          <w:trHeight w:val="290"/>
          <w:jc w:val="center"/>
        </w:trPr>
        <w:tc>
          <w:tcPr>
            <w:tcW w:w="4280" w:type="dxa"/>
            <w:tcBorders>
              <w:top w:val="nil"/>
              <w:left w:val="nil"/>
              <w:bottom w:val="single" w:sz="4" w:space="0" w:color="auto"/>
              <w:right w:val="nil"/>
            </w:tcBorders>
            <w:vAlign w:val="center"/>
            <w:hideMark/>
          </w:tcPr>
          <w:p w14:paraId="286D651E" w14:textId="77777777" w:rsidR="005173BB" w:rsidRDefault="005173BB">
            <w:pPr>
              <w:autoSpaceDE/>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 Outcomes</w:t>
            </w:r>
          </w:p>
        </w:tc>
        <w:tc>
          <w:tcPr>
            <w:tcW w:w="2511" w:type="dxa"/>
            <w:tcBorders>
              <w:top w:val="nil"/>
              <w:left w:val="nil"/>
              <w:bottom w:val="single" w:sz="4" w:space="0" w:color="auto"/>
              <w:right w:val="nil"/>
            </w:tcBorders>
            <w:vAlign w:val="center"/>
            <w:hideMark/>
          </w:tcPr>
          <w:p w14:paraId="07CD05B2"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Women</w:t>
            </w:r>
          </w:p>
        </w:tc>
        <w:tc>
          <w:tcPr>
            <w:tcW w:w="2511" w:type="dxa"/>
            <w:tcBorders>
              <w:top w:val="nil"/>
              <w:left w:val="nil"/>
              <w:bottom w:val="single" w:sz="4" w:space="0" w:color="auto"/>
              <w:right w:val="nil"/>
            </w:tcBorders>
            <w:vAlign w:val="center"/>
            <w:hideMark/>
          </w:tcPr>
          <w:p w14:paraId="5F603050"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Men</w:t>
            </w:r>
          </w:p>
        </w:tc>
        <w:tc>
          <w:tcPr>
            <w:tcW w:w="394" w:type="dxa"/>
            <w:tcBorders>
              <w:top w:val="nil"/>
              <w:left w:val="nil"/>
              <w:bottom w:val="single" w:sz="4" w:space="0" w:color="auto"/>
              <w:right w:val="nil"/>
            </w:tcBorders>
            <w:vAlign w:val="center"/>
            <w:hideMark/>
          </w:tcPr>
          <w:p w14:paraId="082A652D"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 </w:t>
            </w:r>
          </w:p>
        </w:tc>
        <w:tc>
          <w:tcPr>
            <w:tcW w:w="2633" w:type="dxa"/>
            <w:tcBorders>
              <w:top w:val="single" w:sz="4" w:space="0" w:color="auto"/>
              <w:left w:val="nil"/>
              <w:bottom w:val="single" w:sz="4" w:space="0" w:color="auto"/>
              <w:right w:val="nil"/>
            </w:tcBorders>
            <w:vAlign w:val="center"/>
            <w:hideMark/>
          </w:tcPr>
          <w:p w14:paraId="5D782957"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Women</w:t>
            </w:r>
          </w:p>
        </w:tc>
        <w:tc>
          <w:tcPr>
            <w:tcW w:w="2682" w:type="dxa"/>
            <w:tcBorders>
              <w:top w:val="single" w:sz="4" w:space="0" w:color="auto"/>
              <w:left w:val="nil"/>
              <w:bottom w:val="single" w:sz="4" w:space="0" w:color="auto"/>
              <w:right w:val="nil"/>
            </w:tcBorders>
            <w:vAlign w:val="center"/>
            <w:hideMark/>
          </w:tcPr>
          <w:p w14:paraId="65D6DF12" w14:textId="77777777" w:rsidR="005173BB" w:rsidRDefault="005173BB">
            <w:pPr>
              <w:autoSpaceDE/>
              <w:jc w:val="center"/>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Men</w:t>
            </w:r>
          </w:p>
        </w:tc>
      </w:tr>
      <w:tr w:rsidR="005173BB" w14:paraId="2524C7DD" w14:textId="77777777" w:rsidTr="005173BB">
        <w:trPr>
          <w:trHeight w:val="300"/>
          <w:jc w:val="center"/>
        </w:trPr>
        <w:tc>
          <w:tcPr>
            <w:tcW w:w="4280" w:type="dxa"/>
            <w:shd w:val="clear" w:color="auto" w:fill="FFFFFF"/>
            <w:hideMark/>
          </w:tcPr>
          <w:p w14:paraId="3B93035D" w14:textId="77777777" w:rsidR="005173BB" w:rsidRDefault="005173BB">
            <w:pPr>
              <w:autoSpaceDE/>
              <w:rPr>
                <w:rFonts w:ascii="Inherit" w:hAnsi="Inherit" w:cs="Calibri"/>
                <w:b/>
                <w:bCs/>
                <w:color w:val="000000"/>
                <w:sz w:val="22"/>
                <w:szCs w:val="22"/>
                <w:lang w:val="en-US" w:eastAsia="en-US"/>
              </w:rPr>
            </w:pPr>
            <w:r>
              <w:rPr>
                <w:rFonts w:ascii="Inherit" w:hAnsi="Inherit" w:cs="Calibri"/>
                <w:b/>
                <w:bCs/>
                <w:color w:val="000000"/>
                <w:sz w:val="22"/>
                <w:szCs w:val="22"/>
                <w:lang w:val="en-US" w:eastAsia="en-US"/>
              </w:rPr>
              <w:t>All-cause mortality </w:t>
            </w:r>
          </w:p>
        </w:tc>
        <w:tc>
          <w:tcPr>
            <w:tcW w:w="2511" w:type="dxa"/>
            <w:shd w:val="clear" w:color="auto" w:fill="FFFFFF"/>
            <w:hideMark/>
          </w:tcPr>
          <w:p w14:paraId="11F4D324" w14:textId="77777777" w:rsidR="005173BB" w:rsidRDefault="005173BB">
            <w:pPr>
              <w:autoSpaceDE/>
              <w:jc w:val="center"/>
              <w:rPr>
                <w:rFonts w:ascii="Inherit" w:hAnsi="Inherit" w:cs="Calibri"/>
                <w:color w:val="000000"/>
                <w:sz w:val="22"/>
                <w:szCs w:val="22"/>
                <w:lang w:val="en-US" w:eastAsia="en-US"/>
              </w:rPr>
            </w:pPr>
            <w:r>
              <w:rPr>
                <w:rFonts w:ascii="Inherit" w:hAnsi="Inherit" w:cs="Calibri"/>
                <w:color w:val="000000"/>
                <w:sz w:val="22"/>
                <w:szCs w:val="22"/>
                <w:lang w:val="en-US" w:eastAsia="en-US"/>
              </w:rPr>
              <w:t> </w:t>
            </w:r>
          </w:p>
        </w:tc>
        <w:tc>
          <w:tcPr>
            <w:tcW w:w="2511" w:type="dxa"/>
            <w:shd w:val="clear" w:color="auto" w:fill="FFFFFF"/>
            <w:hideMark/>
          </w:tcPr>
          <w:p w14:paraId="7854C313" w14:textId="77777777" w:rsidR="005173BB" w:rsidRDefault="005173BB">
            <w:pPr>
              <w:autoSpaceDE/>
              <w:jc w:val="center"/>
              <w:rPr>
                <w:rFonts w:ascii="Inherit" w:hAnsi="Inherit" w:cs="Calibri"/>
                <w:color w:val="000000"/>
                <w:sz w:val="22"/>
                <w:szCs w:val="22"/>
                <w:lang w:val="en-US" w:eastAsia="en-US"/>
              </w:rPr>
            </w:pPr>
            <w:r>
              <w:rPr>
                <w:rFonts w:ascii="Inherit" w:hAnsi="Inherit" w:cs="Calibri"/>
                <w:color w:val="000000"/>
                <w:sz w:val="22"/>
                <w:szCs w:val="22"/>
                <w:lang w:val="en-US" w:eastAsia="en-US"/>
              </w:rPr>
              <w:t> </w:t>
            </w:r>
          </w:p>
        </w:tc>
        <w:tc>
          <w:tcPr>
            <w:tcW w:w="394" w:type="dxa"/>
            <w:shd w:val="clear" w:color="auto" w:fill="FFFFFF"/>
            <w:hideMark/>
          </w:tcPr>
          <w:p w14:paraId="66CC962D" w14:textId="77777777" w:rsidR="005173BB" w:rsidRDefault="005173BB">
            <w:pPr>
              <w:autoSpaceDE/>
              <w:jc w:val="center"/>
              <w:rPr>
                <w:rFonts w:ascii="Inherit" w:hAnsi="Inherit" w:cs="Calibri"/>
                <w:color w:val="000000"/>
                <w:sz w:val="22"/>
                <w:szCs w:val="22"/>
                <w:lang w:val="en-US" w:eastAsia="en-US"/>
              </w:rPr>
            </w:pPr>
            <w:r>
              <w:rPr>
                <w:rFonts w:ascii="Inherit" w:hAnsi="Inherit" w:cs="Calibri"/>
                <w:color w:val="000000"/>
                <w:sz w:val="22"/>
                <w:szCs w:val="22"/>
                <w:lang w:val="en-US" w:eastAsia="en-US"/>
              </w:rPr>
              <w:t> </w:t>
            </w:r>
          </w:p>
        </w:tc>
        <w:tc>
          <w:tcPr>
            <w:tcW w:w="2633" w:type="dxa"/>
            <w:shd w:val="clear" w:color="auto" w:fill="FFFFFF"/>
            <w:hideMark/>
          </w:tcPr>
          <w:p w14:paraId="51AA3A4D" w14:textId="77777777" w:rsidR="005173BB" w:rsidRDefault="005173BB">
            <w:pPr>
              <w:autoSpaceDE/>
              <w:jc w:val="center"/>
              <w:rPr>
                <w:rFonts w:ascii="Inherit" w:hAnsi="Inherit" w:cs="Calibri"/>
                <w:color w:val="000000"/>
                <w:sz w:val="22"/>
                <w:szCs w:val="22"/>
                <w:lang w:val="en-US" w:eastAsia="en-US"/>
              </w:rPr>
            </w:pPr>
            <w:r>
              <w:rPr>
                <w:rFonts w:ascii="Inherit" w:hAnsi="Inherit" w:cs="Calibri"/>
                <w:color w:val="000000"/>
                <w:sz w:val="22"/>
                <w:szCs w:val="22"/>
                <w:lang w:val="en-US" w:eastAsia="en-US"/>
              </w:rPr>
              <w:t> </w:t>
            </w:r>
          </w:p>
        </w:tc>
        <w:tc>
          <w:tcPr>
            <w:tcW w:w="2682" w:type="dxa"/>
            <w:shd w:val="clear" w:color="auto" w:fill="FFFFFF"/>
            <w:hideMark/>
          </w:tcPr>
          <w:p w14:paraId="0A8B82C7" w14:textId="77777777" w:rsidR="005173BB" w:rsidRDefault="005173BB">
            <w:pPr>
              <w:autoSpaceDE/>
              <w:jc w:val="center"/>
              <w:rPr>
                <w:rFonts w:ascii="Inherit" w:hAnsi="Inherit" w:cs="Calibri"/>
                <w:color w:val="000000"/>
                <w:sz w:val="22"/>
                <w:szCs w:val="22"/>
                <w:lang w:val="en-US" w:eastAsia="en-US"/>
              </w:rPr>
            </w:pPr>
            <w:r>
              <w:rPr>
                <w:rFonts w:ascii="Inherit" w:hAnsi="Inherit" w:cs="Calibri"/>
                <w:color w:val="000000"/>
                <w:sz w:val="22"/>
                <w:szCs w:val="22"/>
                <w:lang w:val="en-US" w:eastAsia="en-US"/>
              </w:rPr>
              <w:t> </w:t>
            </w:r>
          </w:p>
        </w:tc>
      </w:tr>
      <w:tr w:rsidR="005173BB" w14:paraId="45851127" w14:textId="77777777" w:rsidTr="005173BB">
        <w:trPr>
          <w:trHeight w:val="300"/>
          <w:jc w:val="center"/>
        </w:trPr>
        <w:tc>
          <w:tcPr>
            <w:tcW w:w="4280" w:type="dxa"/>
            <w:shd w:val="clear" w:color="auto" w:fill="FFFFFF"/>
            <w:hideMark/>
          </w:tcPr>
          <w:p w14:paraId="0F142C46"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 xml:space="preserve">Number of events (%) among low level </w:t>
            </w:r>
          </w:p>
        </w:tc>
        <w:tc>
          <w:tcPr>
            <w:tcW w:w="2511" w:type="dxa"/>
            <w:shd w:val="clear" w:color="auto" w:fill="FFFFFF"/>
            <w:hideMark/>
          </w:tcPr>
          <w:p w14:paraId="13F33BBF" w14:textId="77777777" w:rsidR="005173BB" w:rsidRDefault="005173BB">
            <w:pPr>
              <w:autoSpaceDE/>
              <w:jc w:val="center"/>
              <w:rPr>
                <w:rFonts w:ascii="Inherit" w:hAnsi="Inherit" w:cs="Calibri"/>
                <w:sz w:val="22"/>
                <w:szCs w:val="22"/>
                <w:lang w:val="en-US" w:eastAsia="en-US"/>
              </w:rPr>
            </w:pPr>
            <w:r>
              <w:rPr>
                <w:sz w:val="24"/>
                <w:szCs w:val="24"/>
              </w:rPr>
              <w:t>146/1060 (13.8%) </w:t>
            </w:r>
          </w:p>
        </w:tc>
        <w:tc>
          <w:tcPr>
            <w:tcW w:w="2511" w:type="dxa"/>
            <w:shd w:val="clear" w:color="auto" w:fill="FFFFFF"/>
            <w:hideMark/>
          </w:tcPr>
          <w:p w14:paraId="7547B858" w14:textId="77777777" w:rsidR="005173BB" w:rsidRDefault="005173BB">
            <w:pPr>
              <w:autoSpaceDE/>
              <w:jc w:val="center"/>
              <w:rPr>
                <w:rFonts w:ascii="Inherit" w:hAnsi="Inherit" w:cs="Calibri"/>
                <w:sz w:val="22"/>
                <w:szCs w:val="22"/>
                <w:lang w:val="en-US" w:eastAsia="en-US"/>
              </w:rPr>
            </w:pPr>
            <w:r>
              <w:rPr>
                <w:sz w:val="24"/>
                <w:szCs w:val="24"/>
              </w:rPr>
              <w:t>31/157 (19.8%) </w:t>
            </w:r>
          </w:p>
        </w:tc>
        <w:tc>
          <w:tcPr>
            <w:tcW w:w="394" w:type="dxa"/>
            <w:shd w:val="clear" w:color="auto" w:fill="FFFFFF"/>
          </w:tcPr>
          <w:p w14:paraId="5B77FD61" w14:textId="77777777" w:rsidR="005173BB" w:rsidRDefault="005173BB">
            <w:pPr>
              <w:autoSpaceDE/>
              <w:jc w:val="center"/>
              <w:rPr>
                <w:rFonts w:ascii="Inherit" w:hAnsi="Inherit" w:cs="Calibri"/>
                <w:color w:val="FF0000"/>
                <w:sz w:val="22"/>
                <w:szCs w:val="22"/>
                <w:lang w:val="en-US" w:eastAsia="en-US"/>
              </w:rPr>
            </w:pPr>
          </w:p>
        </w:tc>
        <w:tc>
          <w:tcPr>
            <w:tcW w:w="2633" w:type="dxa"/>
            <w:shd w:val="clear" w:color="auto" w:fill="FFFFFF"/>
            <w:hideMark/>
          </w:tcPr>
          <w:p w14:paraId="2540645B" w14:textId="77777777" w:rsidR="005173BB" w:rsidRDefault="005173BB">
            <w:pPr>
              <w:autoSpaceDE/>
              <w:jc w:val="center"/>
              <w:rPr>
                <w:rFonts w:ascii="Inherit" w:hAnsi="Inherit" w:cs="Calibri"/>
                <w:sz w:val="22"/>
                <w:szCs w:val="22"/>
                <w:lang w:val="en-US" w:eastAsia="en-US"/>
              </w:rPr>
            </w:pPr>
            <w:r>
              <w:rPr>
                <w:sz w:val="24"/>
                <w:szCs w:val="24"/>
              </w:rPr>
              <w:t>52/296 (17.8%) </w:t>
            </w:r>
          </w:p>
        </w:tc>
        <w:tc>
          <w:tcPr>
            <w:tcW w:w="2682" w:type="dxa"/>
            <w:shd w:val="clear" w:color="auto" w:fill="FFFFFF"/>
            <w:hideMark/>
          </w:tcPr>
          <w:p w14:paraId="3256C309" w14:textId="77777777" w:rsidR="005173BB" w:rsidRDefault="005173BB">
            <w:pPr>
              <w:autoSpaceDE/>
              <w:jc w:val="center"/>
              <w:rPr>
                <w:rFonts w:ascii="Inherit" w:hAnsi="Inherit" w:cs="Calibri"/>
                <w:sz w:val="22"/>
                <w:szCs w:val="22"/>
                <w:lang w:val="en-US" w:eastAsia="en-US"/>
              </w:rPr>
            </w:pPr>
            <w:r>
              <w:rPr>
                <w:sz w:val="24"/>
                <w:szCs w:val="24"/>
              </w:rPr>
              <w:t>70/386 (18.1%) </w:t>
            </w:r>
          </w:p>
        </w:tc>
      </w:tr>
      <w:tr w:rsidR="005173BB" w14:paraId="24008E5E" w14:textId="77777777" w:rsidTr="005173BB">
        <w:trPr>
          <w:trHeight w:val="300"/>
          <w:jc w:val="center"/>
        </w:trPr>
        <w:tc>
          <w:tcPr>
            <w:tcW w:w="4280" w:type="dxa"/>
            <w:shd w:val="clear" w:color="auto" w:fill="FFFFFF"/>
            <w:hideMark/>
          </w:tcPr>
          <w:p w14:paraId="1CEFD9B1"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Number of events (%) among high level</w:t>
            </w:r>
          </w:p>
        </w:tc>
        <w:tc>
          <w:tcPr>
            <w:tcW w:w="2511" w:type="dxa"/>
            <w:shd w:val="clear" w:color="auto" w:fill="FFFFFF"/>
            <w:hideMark/>
          </w:tcPr>
          <w:p w14:paraId="387F0A95" w14:textId="77777777" w:rsidR="005173BB" w:rsidRDefault="005173BB">
            <w:pPr>
              <w:autoSpaceDE/>
              <w:jc w:val="center"/>
              <w:rPr>
                <w:rFonts w:ascii="Inherit" w:hAnsi="Inherit" w:cs="Calibri"/>
                <w:sz w:val="22"/>
                <w:szCs w:val="22"/>
                <w:lang w:val="en-US" w:eastAsia="en-US"/>
              </w:rPr>
            </w:pPr>
            <w:r>
              <w:rPr>
                <w:sz w:val="24"/>
                <w:szCs w:val="24"/>
              </w:rPr>
              <w:t>2332/7424 (31.4%) </w:t>
            </w:r>
          </w:p>
        </w:tc>
        <w:tc>
          <w:tcPr>
            <w:tcW w:w="2511" w:type="dxa"/>
            <w:shd w:val="clear" w:color="auto" w:fill="FFFFFF"/>
            <w:hideMark/>
          </w:tcPr>
          <w:p w14:paraId="7CC5C134" w14:textId="77777777" w:rsidR="005173BB" w:rsidRDefault="005173BB">
            <w:pPr>
              <w:autoSpaceDE/>
              <w:jc w:val="center"/>
              <w:rPr>
                <w:rFonts w:ascii="Inherit" w:hAnsi="Inherit" w:cs="Calibri"/>
                <w:sz w:val="22"/>
                <w:szCs w:val="22"/>
                <w:lang w:val="en-US" w:eastAsia="en-US"/>
              </w:rPr>
            </w:pPr>
            <w:r>
              <w:rPr>
                <w:sz w:val="24"/>
                <w:szCs w:val="24"/>
              </w:rPr>
              <w:t>2435/6179 (39.4%) </w:t>
            </w:r>
          </w:p>
        </w:tc>
        <w:tc>
          <w:tcPr>
            <w:tcW w:w="394" w:type="dxa"/>
            <w:shd w:val="clear" w:color="auto" w:fill="FFFFFF"/>
          </w:tcPr>
          <w:p w14:paraId="4991E83E" w14:textId="77777777" w:rsidR="005173BB" w:rsidRDefault="005173BB">
            <w:pPr>
              <w:autoSpaceDE/>
              <w:jc w:val="center"/>
              <w:rPr>
                <w:rFonts w:ascii="Inherit" w:hAnsi="Inherit" w:cs="Calibri"/>
                <w:color w:val="FF0000"/>
                <w:sz w:val="22"/>
                <w:szCs w:val="22"/>
                <w:lang w:val="en-US" w:eastAsia="en-US"/>
              </w:rPr>
            </w:pPr>
          </w:p>
        </w:tc>
        <w:tc>
          <w:tcPr>
            <w:tcW w:w="2633" w:type="dxa"/>
            <w:shd w:val="clear" w:color="auto" w:fill="FFFFFF"/>
            <w:hideMark/>
          </w:tcPr>
          <w:p w14:paraId="7D877234" w14:textId="77777777" w:rsidR="005173BB" w:rsidRDefault="005173BB">
            <w:pPr>
              <w:autoSpaceDE/>
              <w:jc w:val="center"/>
              <w:rPr>
                <w:rFonts w:ascii="Inherit" w:hAnsi="Inherit" w:cs="Calibri"/>
                <w:sz w:val="22"/>
                <w:szCs w:val="22"/>
                <w:lang w:val="en-US" w:eastAsia="en-US"/>
              </w:rPr>
            </w:pPr>
            <w:r>
              <w:rPr>
                <w:sz w:val="24"/>
                <w:szCs w:val="24"/>
              </w:rPr>
              <w:t>2067/7073 (29.2%) </w:t>
            </w:r>
          </w:p>
        </w:tc>
        <w:tc>
          <w:tcPr>
            <w:tcW w:w="2682" w:type="dxa"/>
            <w:shd w:val="clear" w:color="auto" w:fill="FFFFFF"/>
            <w:hideMark/>
          </w:tcPr>
          <w:p w14:paraId="5035335E" w14:textId="77777777" w:rsidR="005173BB" w:rsidRDefault="005173BB">
            <w:pPr>
              <w:autoSpaceDE/>
              <w:jc w:val="center"/>
              <w:rPr>
                <w:rFonts w:ascii="Inherit" w:hAnsi="Inherit" w:cs="Calibri"/>
                <w:sz w:val="22"/>
                <w:szCs w:val="22"/>
                <w:lang w:val="en-US" w:eastAsia="en-US"/>
              </w:rPr>
            </w:pPr>
            <w:r>
              <w:rPr>
                <w:sz w:val="24"/>
                <w:szCs w:val="24"/>
              </w:rPr>
              <w:t>2578/6525 (39.5%) </w:t>
            </w:r>
          </w:p>
        </w:tc>
      </w:tr>
      <w:tr w:rsidR="005173BB" w14:paraId="714CC32A" w14:textId="77777777" w:rsidTr="005173BB">
        <w:trPr>
          <w:trHeight w:val="340"/>
          <w:jc w:val="center"/>
        </w:trPr>
        <w:tc>
          <w:tcPr>
            <w:tcW w:w="4280" w:type="dxa"/>
            <w:shd w:val="clear" w:color="auto" w:fill="FFFFFF"/>
            <w:vAlign w:val="center"/>
            <w:hideMark/>
          </w:tcPr>
          <w:p w14:paraId="4462713B"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ratio (95% CI)</w:t>
            </w:r>
          </w:p>
        </w:tc>
        <w:tc>
          <w:tcPr>
            <w:tcW w:w="2511" w:type="dxa"/>
            <w:shd w:val="clear" w:color="auto" w:fill="FFFFFF"/>
            <w:hideMark/>
          </w:tcPr>
          <w:p w14:paraId="0F9ED069"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2.22 (1.01 to 3.70) </w:t>
            </w:r>
          </w:p>
        </w:tc>
        <w:tc>
          <w:tcPr>
            <w:tcW w:w="2511" w:type="dxa"/>
            <w:shd w:val="clear" w:color="auto" w:fill="FFFFFF"/>
            <w:hideMark/>
          </w:tcPr>
          <w:p w14:paraId="5AADF5CE"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1.65 (0.99 to 2.32) </w:t>
            </w:r>
          </w:p>
        </w:tc>
        <w:tc>
          <w:tcPr>
            <w:tcW w:w="394" w:type="dxa"/>
            <w:shd w:val="clear" w:color="auto" w:fill="FFFFFF"/>
            <w:hideMark/>
          </w:tcPr>
          <w:p w14:paraId="5EBBB960"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shd w:val="clear" w:color="auto" w:fill="FFFFFF"/>
            <w:hideMark/>
          </w:tcPr>
          <w:p w14:paraId="62C37409"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2.11 (0.90 to 5.02) </w:t>
            </w:r>
          </w:p>
        </w:tc>
        <w:tc>
          <w:tcPr>
            <w:tcW w:w="2682" w:type="dxa"/>
            <w:shd w:val="clear" w:color="auto" w:fill="FFFFFF"/>
            <w:hideMark/>
          </w:tcPr>
          <w:p w14:paraId="7F476724"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5.11 (2.20 to 9.95) </w:t>
            </w:r>
          </w:p>
        </w:tc>
      </w:tr>
      <w:tr w:rsidR="005173BB" w14:paraId="04CB2916" w14:textId="77777777" w:rsidTr="005173BB">
        <w:trPr>
          <w:trHeight w:val="290"/>
          <w:jc w:val="center"/>
        </w:trPr>
        <w:tc>
          <w:tcPr>
            <w:tcW w:w="4280" w:type="dxa"/>
            <w:tcBorders>
              <w:top w:val="nil"/>
              <w:left w:val="nil"/>
              <w:bottom w:val="dashed" w:sz="4" w:space="0" w:color="auto"/>
              <w:right w:val="nil"/>
            </w:tcBorders>
            <w:shd w:val="clear" w:color="auto" w:fill="FFFFFF"/>
            <w:vAlign w:val="center"/>
            <w:hideMark/>
          </w:tcPr>
          <w:p w14:paraId="28E82276"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difference (95% CI)</w:t>
            </w:r>
          </w:p>
        </w:tc>
        <w:tc>
          <w:tcPr>
            <w:tcW w:w="2511" w:type="dxa"/>
            <w:tcBorders>
              <w:top w:val="nil"/>
              <w:left w:val="nil"/>
              <w:bottom w:val="dashed" w:sz="4" w:space="0" w:color="auto"/>
              <w:right w:val="nil"/>
            </w:tcBorders>
            <w:shd w:val="clear" w:color="auto" w:fill="FFFFFF"/>
            <w:hideMark/>
          </w:tcPr>
          <w:p w14:paraId="6C7EDA9D"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+3.13% (0.03 to 7.31) </w:t>
            </w:r>
          </w:p>
        </w:tc>
        <w:tc>
          <w:tcPr>
            <w:tcW w:w="2511" w:type="dxa"/>
            <w:tcBorders>
              <w:top w:val="nil"/>
              <w:left w:val="nil"/>
              <w:bottom w:val="dashed" w:sz="4" w:space="0" w:color="auto"/>
              <w:right w:val="nil"/>
            </w:tcBorders>
            <w:shd w:val="clear" w:color="auto" w:fill="FFFFFF"/>
            <w:hideMark/>
          </w:tcPr>
          <w:p w14:paraId="59959964"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+4.01% (-0.21 to 8.79) </w:t>
            </w:r>
          </w:p>
        </w:tc>
        <w:tc>
          <w:tcPr>
            <w:tcW w:w="394" w:type="dxa"/>
            <w:tcBorders>
              <w:top w:val="nil"/>
              <w:left w:val="nil"/>
              <w:bottom w:val="dashed" w:sz="4" w:space="0" w:color="auto"/>
              <w:right w:val="nil"/>
            </w:tcBorders>
            <w:shd w:val="clear" w:color="auto" w:fill="FFFFFF"/>
            <w:hideMark/>
          </w:tcPr>
          <w:p w14:paraId="5B2A81F2"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tcBorders>
              <w:top w:val="nil"/>
              <w:left w:val="nil"/>
              <w:bottom w:val="dashed" w:sz="4" w:space="0" w:color="auto"/>
              <w:right w:val="nil"/>
            </w:tcBorders>
            <w:shd w:val="clear" w:color="auto" w:fill="FFFFFF"/>
            <w:hideMark/>
          </w:tcPr>
          <w:p w14:paraId="08C7FAFB"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+2.93% (-0.65 to 10.03) </w:t>
            </w:r>
          </w:p>
        </w:tc>
        <w:tc>
          <w:tcPr>
            <w:tcW w:w="2682" w:type="dxa"/>
            <w:tcBorders>
              <w:top w:val="nil"/>
              <w:left w:val="nil"/>
              <w:bottom w:val="dashed" w:sz="4" w:space="0" w:color="auto"/>
              <w:right w:val="nil"/>
            </w:tcBorders>
            <w:shd w:val="clear" w:color="auto" w:fill="FFFFFF"/>
            <w:hideMark/>
          </w:tcPr>
          <w:p w14:paraId="7AF42F65"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+10.06% (6.56 to 18.06) </w:t>
            </w:r>
          </w:p>
        </w:tc>
      </w:tr>
      <w:tr w:rsidR="005173BB" w14:paraId="2A86D981" w14:textId="77777777" w:rsidTr="005173BB">
        <w:trPr>
          <w:trHeight w:val="300"/>
          <w:jc w:val="center"/>
        </w:trPr>
        <w:tc>
          <w:tcPr>
            <w:tcW w:w="4280" w:type="dxa"/>
            <w:shd w:val="clear" w:color="auto" w:fill="FFFFFF"/>
            <w:hideMark/>
          </w:tcPr>
          <w:p w14:paraId="00F3D9FB" w14:textId="77777777" w:rsidR="005173BB" w:rsidRDefault="005173BB">
            <w:pPr>
              <w:autoSpaceDE/>
              <w:rPr>
                <w:rFonts w:ascii="Inherit" w:hAnsi="Inherit" w:cs="Calibri"/>
                <w:b/>
                <w:bCs/>
                <w:sz w:val="22"/>
                <w:szCs w:val="22"/>
                <w:lang w:val="en-US" w:eastAsia="en-US"/>
              </w:rPr>
            </w:pPr>
            <w:r>
              <w:rPr>
                <w:rFonts w:ascii="Inherit" w:hAnsi="Inherit" w:cs="Calibri"/>
                <w:b/>
                <w:bCs/>
                <w:sz w:val="22"/>
                <w:szCs w:val="22"/>
                <w:lang w:val="en-US" w:eastAsia="en-US"/>
              </w:rPr>
              <w:t>Cardiovascular mortality </w:t>
            </w:r>
          </w:p>
        </w:tc>
        <w:tc>
          <w:tcPr>
            <w:tcW w:w="2511" w:type="dxa"/>
            <w:shd w:val="clear" w:color="auto" w:fill="FFFFFF"/>
            <w:hideMark/>
          </w:tcPr>
          <w:p w14:paraId="25FE3360"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 </w:t>
            </w:r>
          </w:p>
        </w:tc>
        <w:tc>
          <w:tcPr>
            <w:tcW w:w="2511" w:type="dxa"/>
            <w:shd w:val="clear" w:color="auto" w:fill="FFFFFF"/>
            <w:hideMark/>
          </w:tcPr>
          <w:p w14:paraId="24059E67"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394" w:type="dxa"/>
            <w:shd w:val="clear" w:color="auto" w:fill="FFFFFF"/>
            <w:hideMark/>
          </w:tcPr>
          <w:p w14:paraId="069AA110"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shd w:val="clear" w:color="auto" w:fill="FFFFFF"/>
            <w:hideMark/>
          </w:tcPr>
          <w:p w14:paraId="75219127"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 </w:t>
            </w:r>
          </w:p>
        </w:tc>
        <w:tc>
          <w:tcPr>
            <w:tcW w:w="2682" w:type="dxa"/>
            <w:shd w:val="clear" w:color="auto" w:fill="FFFFFF"/>
            <w:hideMark/>
          </w:tcPr>
          <w:p w14:paraId="23CA7F6A"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r>
      <w:tr w:rsidR="005173BB" w14:paraId="04A646B5" w14:textId="77777777" w:rsidTr="005173BB">
        <w:trPr>
          <w:trHeight w:val="300"/>
          <w:jc w:val="center"/>
        </w:trPr>
        <w:tc>
          <w:tcPr>
            <w:tcW w:w="4280" w:type="dxa"/>
            <w:shd w:val="clear" w:color="auto" w:fill="FFFFFF"/>
            <w:hideMark/>
          </w:tcPr>
          <w:p w14:paraId="1252F518"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 xml:space="preserve">Number of events (%) among low level </w:t>
            </w:r>
          </w:p>
        </w:tc>
        <w:tc>
          <w:tcPr>
            <w:tcW w:w="2511" w:type="dxa"/>
            <w:shd w:val="clear" w:color="auto" w:fill="FFFFFF"/>
            <w:hideMark/>
          </w:tcPr>
          <w:p w14:paraId="13915B49" w14:textId="77777777" w:rsidR="005173BB" w:rsidRDefault="005173BB">
            <w:pPr>
              <w:autoSpaceDE/>
              <w:jc w:val="center"/>
              <w:rPr>
                <w:rFonts w:ascii="Inherit" w:hAnsi="Inherit" w:cs="Calibri"/>
                <w:sz w:val="22"/>
                <w:szCs w:val="22"/>
                <w:lang w:val="en-US" w:eastAsia="en-US"/>
              </w:rPr>
            </w:pPr>
            <w:r>
              <w:rPr>
                <w:sz w:val="24"/>
                <w:szCs w:val="24"/>
              </w:rPr>
              <w:t>29/1060 (2.7%) </w:t>
            </w:r>
          </w:p>
        </w:tc>
        <w:tc>
          <w:tcPr>
            <w:tcW w:w="2511" w:type="dxa"/>
            <w:shd w:val="clear" w:color="auto" w:fill="FFFFFF"/>
            <w:hideMark/>
          </w:tcPr>
          <w:p w14:paraId="4A67B086" w14:textId="77777777" w:rsidR="005173BB" w:rsidRDefault="005173BB">
            <w:pPr>
              <w:autoSpaceDE/>
              <w:jc w:val="center"/>
              <w:rPr>
                <w:rFonts w:ascii="Inherit" w:hAnsi="Inherit" w:cs="Calibri"/>
                <w:sz w:val="22"/>
                <w:szCs w:val="22"/>
                <w:lang w:val="en-US" w:eastAsia="en-US"/>
              </w:rPr>
            </w:pPr>
            <w:r>
              <w:rPr>
                <w:sz w:val="24"/>
                <w:szCs w:val="24"/>
              </w:rPr>
              <w:t>6/157 (3.8%) </w:t>
            </w:r>
          </w:p>
        </w:tc>
        <w:tc>
          <w:tcPr>
            <w:tcW w:w="394" w:type="dxa"/>
            <w:shd w:val="clear" w:color="auto" w:fill="FFFFFF"/>
          </w:tcPr>
          <w:p w14:paraId="06EBD695" w14:textId="77777777" w:rsidR="005173BB" w:rsidRDefault="005173BB">
            <w:pPr>
              <w:autoSpaceDE/>
              <w:jc w:val="center"/>
              <w:rPr>
                <w:rFonts w:ascii="Inherit" w:hAnsi="Inherit" w:cs="Calibri"/>
                <w:color w:val="FF0000"/>
                <w:sz w:val="22"/>
                <w:szCs w:val="22"/>
                <w:lang w:val="en-US" w:eastAsia="en-US"/>
              </w:rPr>
            </w:pPr>
          </w:p>
        </w:tc>
        <w:tc>
          <w:tcPr>
            <w:tcW w:w="2633" w:type="dxa"/>
            <w:shd w:val="clear" w:color="auto" w:fill="FFFFFF"/>
            <w:hideMark/>
          </w:tcPr>
          <w:p w14:paraId="2093B3B3" w14:textId="77777777" w:rsidR="005173BB" w:rsidRDefault="005173BB">
            <w:pPr>
              <w:autoSpaceDE/>
              <w:jc w:val="center"/>
              <w:rPr>
                <w:rFonts w:ascii="Inherit" w:hAnsi="Inherit" w:cs="Calibri"/>
                <w:sz w:val="22"/>
                <w:szCs w:val="22"/>
                <w:lang w:val="en-US" w:eastAsia="en-US"/>
              </w:rPr>
            </w:pPr>
            <w:r>
              <w:rPr>
                <w:sz w:val="24"/>
                <w:szCs w:val="24"/>
              </w:rPr>
              <w:t>13/296 (4.4%) </w:t>
            </w:r>
          </w:p>
        </w:tc>
        <w:tc>
          <w:tcPr>
            <w:tcW w:w="2682" w:type="dxa"/>
            <w:shd w:val="clear" w:color="auto" w:fill="FFFFFF"/>
            <w:hideMark/>
          </w:tcPr>
          <w:p w14:paraId="5D619BE3" w14:textId="77777777" w:rsidR="005173BB" w:rsidRDefault="005173BB">
            <w:pPr>
              <w:autoSpaceDE/>
              <w:jc w:val="center"/>
              <w:rPr>
                <w:rFonts w:ascii="Inherit" w:hAnsi="Inherit" w:cs="Calibri"/>
                <w:sz w:val="22"/>
                <w:szCs w:val="22"/>
                <w:lang w:val="en-US" w:eastAsia="en-US"/>
              </w:rPr>
            </w:pPr>
            <w:r>
              <w:rPr>
                <w:sz w:val="24"/>
                <w:szCs w:val="24"/>
              </w:rPr>
              <w:t>17/386 (4.4%) </w:t>
            </w:r>
          </w:p>
        </w:tc>
      </w:tr>
      <w:tr w:rsidR="005173BB" w14:paraId="0E4EF3BD" w14:textId="77777777" w:rsidTr="005173BB">
        <w:trPr>
          <w:trHeight w:val="300"/>
          <w:jc w:val="center"/>
        </w:trPr>
        <w:tc>
          <w:tcPr>
            <w:tcW w:w="4280" w:type="dxa"/>
            <w:shd w:val="clear" w:color="auto" w:fill="FFFFFF"/>
            <w:hideMark/>
          </w:tcPr>
          <w:p w14:paraId="79F34F2A"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Number of events (%) among high level</w:t>
            </w:r>
          </w:p>
        </w:tc>
        <w:tc>
          <w:tcPr>
            <w:tcW w:w="2511" w:type="dxa"/>
            <w:shd w:val="clear" w:color="auto" w:fill="FFFFFF"/>
            <w:hideMark/>
          </w:tcPr>
          <w:p w14:paraId="0630EE0E" w14:textId="77777777" w:rsidR="005173BB" w:rsidRDefault="005173BB">
            <w:pPr>
              <w:autoSpaceDE/>
              <w:jc w:val="center"/>
              <w:rPr>
                <w:rFonts w:ascii="Inherit" w:hAnsi="Inherit" w:cs="Calibri"/>
                <w:sz w:val="22"/>
                <w:szCs w:val="22"/>
                <w:lang w:val="en-US" w:eastAsia="en-US"/>
              </w:rPr>
            </w:pPr>
            <w:r>
              <w:rPr>
                <w:sz w:val="24"/>
                <w:szCs w:val="24"/>
              </w:rPr>
              <w:t>690/7424 (9.3%) </w:t>
            </w:r>
          </w:p>
        </w:tc>
        <w:tc>
          <w:tcPr>
            <w:tcW w:w="2511" w:type="dxa"/>
            <w:shd w:val="clear" w:color="auto" w:fill="FFFFFF"/>
            <w:hideMark/>
          </w:tcPr>
          <w:p w14:paraId="1E2942DD" w14:textId="77777777" w:rsidR="005173BB" w:rsidRDefault="005173BB">
            <w:pPr>
              <w:autoSpaceDE/>
              <w:jc w:val="center"/>
              <w:rPr>
                <w:rFonts w:ascii="Inherit" w:hAnsi="Inherit" w:cs="Calibri"/>
                <w:sz w:val="22"/>
                <w:szCs w:val="22"/>
                <w:lang w:val="en-US" w:eastAsia="en-US"/>
              </w:rPr>
            </w:pPr>
            <w:r>
              <w:rPr>
                <w:sz w:val="24"/>
                <w:szCs w:val="24"/>
              </w:rPr>
              <w:t>733/6179 (11.9%) </w:t>
            </w:r>
          </w:p>
        </w:tc>
        <w:tc>
          <w:tcPr>
            <w:tcW w:w="394" w:type="dxa"/>
            <w:shd w:val="clear" w:color="auto" w:fill="FFFFFF"/>
            <w:hideMark/>
          </w:tcPr>
          <w:p w14:paraId="2FF6DF78" w14:textId="77777777" w:rsidR="005173BB" w:rsidRDefault="005173BB">
            <w:pPr>
              <w:rPr>
                <w:rFonts w:ascii="Inherit" w:hAnsi="Inherit" w:cs="Calibri"/>
                <w:sz w:val="22"/>
                <w:szCs w:val="22"/>
                <w:lang w:val="en-US" w:eastAsia="en-US"/>
              </w:rPr>
            </w:pPr>
          </w:p>
        </w:tc>
        <w:tc>
          <w:tcPr>
            <w:tcW w:w="2633" w:type="dxa"/>
            <w:shd w:val="clear" w:color="auto" w:fill="FFFFFF"/>
            <w:hideMark/>
          </w:tcPr>
          <w:p w14:paraId="2CE7C780" w14:textId="77777777" w:rsidR="005173BB" w:rsidRDefault="005173BB">
            <w:pPr>
              <w:autoSpaceDE/>
              <w:jc w:val="center"/>
              <w:rPr>
                <w:rFonts w:ascii="Inherit" w:hAnsi="Inherit" w:cs="Calibri"/>
                <w:sz w:val="22"/>
                <w:szCs w:val="22"/>
                <w:lang w:val="en-US" w:eastAsia="en-US"/>
              </w:rPr>
            </w:pPr>
            <w:r>
              <w:rPr>
                <w:sz w:val="24"/>
                <w:szCs w:val="24"/>
              </w:rPr>
              <w:t>618/7073 (8.7%) </w:t>
            </w:r>
          </w:p>
        </w:tc>
        <w:tc>
          <w:tcPr>
            <w:tcW w:w="2682" w:type="dxa"/>
            <w:shd w:val="clear" w:color="auto" w:fill="FFFFFF"/>
            <w:hideMark/>
          </w:tcPr>
          <w:p w14:paraId="52DD4939" w14:textId="77777777" w:rsidR="005173BB" w:rsidRDefault="005173BB">
            <w:pPr>
              <w:autoSpaceDE/>
              <w:jc w:val="center"/>
              <w:rPr>
                <w:rFonts w:ascii="Inherit" w:hAnsi="Inherit" w:cs="Calibri"/>
                <w:sz w:val="22"/>
                <w:szCs w:val="22"/>
                <w:lang w:val="en-US" w:eastAsia="en-US"/>
              </w:rPr>
            </w:pPr>
            <w:r>
              <w:rPr>
                <w:sz w:val="24"/>
                <w:szCs w:val="24"/>
              </w:rPr>
              <w:t>787/6525 (12.1%) </w:t>
            </w:r>
          </w:p>
        </w:tc>
      </w:tr>
      <w:tr w:rsidR="005173BB" w14:paraId="72CF676E" w14:textId="77777777" w:rsidTr="005173BB">
        <w:trPr>
          <w:trHeight w:val="300"/>
          <w:jc w:val="center"/>
        </w:trPr>
        <w:tc>
          <w:tcPr>
            <w:tcW w:w="4280" w:type="dxa"/>
            <w:shd w:val="clear" w:color="auto" w:fill="FFFFFF"/>
            <w:vAlign w:val="center"/>
            <w:hideMark/>
          </w:tcPr>
          <w:p w14:paraId="05E95FF2"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ratio (95% CI)</w:t>
            </w:r>
          </w:p>
        </w:tc>
        <w:tc>
          <w:tcPr>
            <w:tcW w:w="2511" w:type="dxa"/>
            <w:shd w:val="clear" w:color="auto" w:fill="FFFFFF"/>
            <w:hideMark/>
          </w:tcPr>
          <w:p w14:paraId="651288ED"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3.24 (1.19 to 6.42) </w:t>
            </w:r>
          </w:p>
        </w:tc>
        <w:tc>
          <w:tcPr>
            <w:tcW w:w="2511" w:type="dxa"/>
            <w:shd w:val="clear" w:color="auto" w:fill="FFFFFF"/>
            <w:hideMark/>
          </w:tcPr>
          <w:p w14:paraId="131BC6EA"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1.37 (0.71 to 2.70) </w:t>
            </w:r>
          </w:p>
        </w:tc>
        <w:tc>
          <w:tcPr>
            <w:tcW w:w="394" w:type="dxa"/>
            <w:shd w:val="clear" w:color="auto" w:fill="FFFFFF"/>
            <w:hideMark/>
          </w:tcPr>
          <w:p w14:paraId="2BAAB82E"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shd w:val="clear" w:color="auto" w:fill="FFFFFF"/>
            <w:hideMark/>
          </w:tcPr>
          <w:p w14:paraId="4F6886E4"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0.97 (0.37 to 2.65) </w:t>
            </w:r>
          </w:p>
        </w:tc>
        <w:tc>
          <w:tcPr>
            <w:tcW w:w="2682" w:type="dxa"/>
            <w:shd w:val="clear" w:color="auto" w:fill="FFFFFF"/>
            <w:hideMark/>
          </w:tcPr>
          <w:p w14:paraId="780BABEC"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2.34 (1.02 to 6.52) </w:t>
            </w:r>
          </w:p>
        </w:tc>
      </w:tr>
      <w:tr w:rsidR="005173BB" w14:paraId="5CF54337" w14:textId="77777777" w:rsidTr="005173BB">
        <w:trPr>
          <w:trHeight w:val="290"/>
          <w:jc w:val="center"/>
        </w:trPr>
        <w:tc>
          <w:tcPr>
            <w:tcW w:w="4280" w:type="dxa"/>
            <w:tcBorders>
              <w:top w:val="nil"/>
              <w:left w:val="nil"/>
              <w:bottom w:val="dashed" w:sz="4" w:space="0" w:color="auto"/>
              <w:right w:val="nil"/>
            </w:tcBorders>
            <w:shd w:val="clear" w:color="auto" w:fill="FFFFFF"/>
            <w:vAlign w:val="center"/>
            <w:hideMark/>
          </w:tcPr>
          <w:p w14:paraId="19BFD9FB"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difference (95% CI)</w:t>
            </w:r>
          </w:p>
        </w:tc>
        <w:tc>
          <w:tcPr>
            <w:tcW w:w="2511" w:type="dxa"/>
            <w:tcBorders>
              <w:top w:val="nil"/>
              <w:left w:val="nil"/>
              <w:bottom w:val="dashed" w:sz="4" w:space="0" w:color="auto"/>
              <w:right w:val="nil"/>
            </w:tcBorders>
            <w:shd w:val="clear" w:color="auto" w:fill="FFFFFF"/>
            <w:hideMark/>
          </w:tcPr>
          <w:p w14:paraId="701A1EC3"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+1.46% (0.28 to 3.95) </w:t>
            </w:r>
          </w:p>
        </w:tc>
        <w:tc>
          <w:tcPr>
            <w:tcW w:w="2511" w:type="dxa"/>
            <w:tcBorders>
              <w:top w:val="nil"/>
              <w:left w:val="nil"/>
              <w:bottom w:val="dashed" w:sz="4" w:space="0" w:color="auto"/>
              <w:right w:val="nil"/>
            </w:tcBorders>
            <w:shd w:val="clear" w:color="auto" w:fill="FFFFFF"/>
            <w:hideMark/>
          </w:tcPr>
          <w:p w14:paraId="351B21F7"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+1.01% (-1.57 to 4.19) </w:t>
            </w:r>
          </w:p>
        </w:tc>
        <w:tc>
          <w:tcPr>
            <w:tcW w:w="394" w:type="dxa"/>
            <w:tcBorders>
              <w:top w:val="nil"/>
              <w:left w:val="nil"/>
              <w:bottom w:val="dashed" w:sz="4" w:space="0" w:color="auto"/>
              <w:right w:val="nil"/>
            </w:tcBorders>
            <w:shd w:val="clear" w:color="auto" w:fill="FFFFFF"/>
            <w:hideMark/>
          </w:tcPr>
          <w:p w14:paraId="6CF2D5C6"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tcBorders>
              <w:top w:val="nil"/>
              <w:left w:val="nil"/>
              <w:bottom w:val="dashed" w:sz="4" w:space="0" w:color="auto"/>
              <w:right w:val="nil"/>
            </w:tcBorders>
            <w:shd w:val="clear" w:color="auto" w:fill="FFFFFF"/>
            <w:hideMark/>
          </w:tcPr>
          <w:p w14:paraId="3AFFECFD"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-0.04% (-2.24 to 1.72) </w:t>
            </w:r>
          </w:p>
        </w:tc>
        <w:tc>
          <w:tcPr>
            <w:tcW w:w="2682" w:type="dxa"/>
            <w:tcBorders>
              <w:top w:val="nil"/>
              <w:left w:val="nil"/>
              <w:bottom w:val="dashed" w:sz="4" w:space="0" w:color="auto"/>
              <w:right w:val="nil"/>
            </w:tcBorders>
            <w:shd w:val="clear" w:color="auto" w:fill="FFFFFF"/>
            <w:hideMark/>
          </w:tcPr>
          <w:p w14:paraId="07337AA8"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+2.59% (0.07 to 7.13) </w:t>
            </w:r>
          </w:p>
        </w:tc>
      </w:tr>
      <w:tr w:rsidR="005173BB" w14:paraId="1A4B11ED" w14:textId="77777777" w:rsidTr="005173BB">
        <w:trPr>
          <w:trHeight w:val="300"/>
          <w:jc w:val="center"/>
        </w:trPr>
        <w:tc>
          <w:tcPr>
            <w:tcW w:w="4280" w:type="dxa"/>
            <w:shd w:val="clear" w:color="auto" w:fill="FFFFFF"/>
            <w:hideMark/>
          </w:tcPr>
          <w:p w14:paraId="48207A0F" w14:textId="77777777" w:rsidR="005173BB" w:rsidRDefault="005173BB">
            <w:pPr>
              <w:autoSpaceDE/>
              <w:rPr>
                <w:rFonts w:ascii="Inherit" w:hAnsi="Inherit" w:cs="Calibri"/>
                <w:b/>
                <w:bCs/>
                <w:sz w:val="22"/>
                <w:szCs w:val="22"/>
                <w:lang w:val="en-US" w:eastAsia="en-US"/>
              </w:rPr>
            </w:pPr>
            <w:r>
              <w:rPr>
                <w:rFonts w:ascii="Inherit" w:hAnsi="Inherit" w:cs="Calibri"/>
                <w:b/>
                <w:bCs/>
                <w:sz w:val="22"/>
                <w:szCs w:val="22"/>
                <w:lang w:val="en-US" w:eastAsia="en-US"/>
              </w:rPr>
              <w:t>Cancer mortality</w:t>
            </w:r>
          </w:p>
        </w:tc>
        <w:tc>
          <w:tcPr>
            <w:tcW w:w="2511" w:type="dxa"/>
            <w:shd w:val="clear" w:color="auto" w:fill="FFFFFF"/>
            <w:hideMark/>
          </w:tcPr>
          <w:p w14:paraId="20F76C90"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 </w:t>
            </w:r>
          </w:p>
        </w:tc>
        <w:tc>
          <w:tcPr>
            <w:tcW w:w="2511" w:type="dxa"/>
            <w:shd w:val="clear" w:color="auto" w:fill="FFFFFF"/>
            <w:hideMark/>
          </w:tcPr>
          <w:p w14:paraId="4F0CA55B"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394" w:type="dxa"/>
            <w:shd w:val="clear" w:color="auto" w:fill="FFFFFF"/>
            <w:hideMark/>
          </w:tcPr>
          <w:p w14:paraId="3330741E"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shd w:val="clear" w:color="auto" w:fill="FFFFFF"/>
            <w:hideMark/>
          </w:tcPr>
          <w:p w14:paraId="64E3777E"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 </w:t>
            </w:r>
          </w:p>
        </w:tc>
        <w:tc>
          <w:tcPr>
            <w:tcW w:w="2682" w:type="dxa"/>
            <w:shd w:val="clear" w:color="auto" w:fill="FFFFFF"/>
            <w:hideMark/>
          </w:tcPr>
          <w:p w14:paraId="056BF964"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r>
      <w:tr w:rsidR="005173BB" w14:paraId="34078BC2" w14:textId="77777777" w:rsidTr="005173BB">
        <w:trPr>
          <w:trHeight w:val="300"/>
          <w:jc w:val="center"/>
        </w:trPr>
        <w:tc>
          <w:tcPr>
            <w:tcW w:w="4280" w:type="dxa"/>
            <w:shd w:val="clear" w:color="auto" w:fill="FFFFFF"/>
            <w:hideMark/>
          </w:tcPr>
          <w:p w14:paraId="4CFB6519"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 xml:space="preserve">Number of events (%) among low level </w:t>
            </w:r>
          </w:p>
        </w:tc>
        <w:tc>
          <w:tcPr>
            <w:tcW w:w="2511" w:type="dxa"/>
            <w:shd w:val="clear" w:color="auto" w:fill="FFFFFF"/>
            <w:hideMark/>
          </w:tcPr>
          <w:p w14:paraId="63624C2B" w14:textId="77777777" w:rsidR="005173BB" w:rsidRDefault="005173BB">
            <w:pPr>
              <w:autoSpaceDE/>
              <w:jc w:val="center"/>
              <w:rPr>
                <w:rFonts w:ascii="Inherit" w:hAnsi="Inherit" w:cs="Calibri"/>
                <w:sz w:val="22"/>
                <w:szCs w:val="22"/>
                <w:lang w:val="en-US" w:eastAsia="en-US"/>
              </w:rPr>
            </w:pPr>
            <w:r>
              <w:rPr>
                <w:sz w:val="24"/>
                <w:szCs w:val="24"/>
              </w:rPr>
              <w:t>45/1060 (4.3%) </w:t>
            </w:r>
          </w:p>
        </w:tc>
        <w:tc>
          <w:tcPr>
            <w:tcW w:w="2511" w:type="dxa"/>
            <w:shd w:val="clear" w:color="auto" w:fill="FFFFFF"/>
            <w:hideMark/>
          </w:tcPr>
          <w:p w14:paraId="4D10F087" w14:textId="77777777" w:rsidR="005173BB" w:rsidRDefault="005173BB">
            <w:pPr>
              <w:autoSpaceDE/>
              <w:jc w:val="center"/>
              <w:rPr>
                <w:rFonts w:ascii="Inherit" w:hAnsi="Inherit" w:cs="Calibri"/>
                <w:sz w:val="22"/>
                <w:szCs w:val="22"/>
                <w:lang w:val="en-US" w:eastAsia="en-US"/>
              </w:rPr>
            </w:pPr>
            <w:r>
              <w:rPr>
                <w:sz w:val="24"/>
                <w:szCs w:val="24"/>
              </w:rPr>
              <w:t>4/157 (2.6%) </w:t>
            </w:r>
          </w:p>
        </w:tc>
        <w:tc>
          <w:tcPr>
            <w:tcW w:w="394" w:type="dxa"/>
            <w:shd w:val="clear" w:color="auto" w:fill="FFFFFF"/>
          </w:tcPr>
          <w:p w14:paraId="1DE83BE5" w14:textId="77777777" w:rsidR="005173BB" w:rsidRDefault="005173BB">
            <w:pPr>
              <w:autoSpaceDE/>
              <w:jc w:val="center"/>
              <w:rPr>
                <w:rFonts w:ascii="Inherit" w:hAnsi="Inherit" w:cs="Calibri"/>
                <w:color w:val="FF0000"/>
                <w:sz w:val="22"/>
                <w:szCs w:val="22"/>
                <w:lang w:val="en-US" w:eastAsia="en-US"/>
              </w:rPr>
            </w:pPr>
          </w:p>
        </w:tc>
        <w:tc>
          <w:tcPr>
            <w:tcW w:w="2633" w:type="dxa"/>
            <w:shd w:val="clear" w:color="auto" w:fill="FFFFFF"/>
            <w:hideMark/>
          </w:tcPr>
          <w:p w14:paraId="714E734A" w14:textId="77777777" w:rsidR="005173BB" w:rsidRDefault="005173BB">
            <w:pPr>
              <w:autoSpaceDE/>
              <w:jc w:val="center"/>
              <w:rPr>
                <w:rFonts w:ascii="Inherit" w:hAnsi="Inherit" w:cs="Calibri"/>
                <w:sz w:val="22"/>
                <w:szCs w:val="22"/>
                <w:lang w:val="en-US" w:eastAsia="en-US"/>
              </w:rPr>
            </w:pPr>
            <w:r>
              <w:rPr>
                <w:sz w:val="24"/>
                <w:szCs w:val="24"/>
              </w:rPr>
              <w:t>15/296 (5.1%) </w:t>
            </w:r>
          </w:p>
        </w:tc>
        <w:tc>
          <w:tcPr>
            <w:tcW w:w="2682" w:type="dxa"/>
            <w:shd w:val="clear" w:color="auto" w:fill="FFFFFF"/>
            <w:hideMark/>
          </w:tcPr>
          <w:p w14:paraId="69A9D970" w14:textId="77777777" w:rsidR="005173BB" w:rsidRDefault="005173BB">
            <w:pPr>
              <w:autoSpaceDE/>
              <w:jc w:val="center"/>
              <w:rPr>
                <w:rFonts w:ascii="Inherit" w:hAnsi="Inherit" w:cs="Calibri"/>
                <w:sz w:val="22"/>
                <w:szCs w:val="22"/>
                <w:lang w:val="en-US" w:eastAsia="en-US"/>
              </w:rPr>
            </w:pPr>
            <w:r>
              <w:rPr>
                <w:sz w:val="24"/>
                <w:szCs w:val="24"/>
              </w:rPr>
              <w:t>7/386 (1.8%) </w:t>
            </w:r>
          </w:p>
        </w:tc>
      </w:tr>
      <w:tr w:rsidR="005173BB" w14:paraId="7CED5DE2" w14:textId="77777777" w:rsidTr="005173BB">
        <w:trPr>
          <w:trHeight w:val="300"/>
          <w:jc w:val="center"/>
        </w:trPr>
        <w:tc>
          <w:tcPr>
            <w:tcW w:w="4280" w:type="dxa"/>
            <w:shd w:val="clear" w:color="auto" w:fill="FFFFFF"/>
            <w:hideMark/>
          </w:tcPr>
          <w:p w14:paraId="208964CD" w14:textId="77777777" w:rsidR="005173BB" w:rsidRDefault="005173BB">
            <w:pPr>
              <w:autoSpaceDE/>
              <w:rPr>
                <w:rFonts w:ascii="Inherit" w:hAnsi="Inherit" w:cs="Calibri"/>
                <w:sz w:val="22"/>
                <w:szCs w:val="22"/>
                <w:lang w:val="en-US" w:eastAsia="en-US"/>
              </w:rPr>
            </w:pPr>
            <w:r>
              <w:rPr>
                <w:rFonts w:ascii="Inherit" w:hAnsi="Inherit" w:cs="Calibri"/>
                <w:sz w:val="22"/>
                <w:szCs w:val="22"/>
                <w:lang w:val="en-US" w:eastAsia="en-US"/>
              </w:rPr>
              <w:t> </w:t>
            </w:r>
            <w:r>
              <w:rPr>
                <w:rFonts w:ascii="Inherit" w:hAnsi="Inherit" w:cs="Calibri"/>
                <w:sz w:val="22"/>
                <w:szCs w:val="22"/>
                <w:lang w:val="en-US" w:eastAsia="en-US"/>
              </w:rPr>
              <w:t>Number of events (%) among high level</w:t>
            </w:r>
          </w:p>
        </w:tc>
        <w:tc>
          <w:tcPr>
            <w:tcW w:w="2511" w:type="dxa"/>
            <w:shd w:val="clear" w:color="auto" w:fill="FFFFFF"/>
            <w:hideMark/>
          </w:tcPr>
          <w:p w14:paraId="51ECBF59" w14:textId="77777777" w:rsidR="005173BB" w:rsidRDefault="005173BB">
            <w:pPr>
              <w:autoSpaceDE/>
              <w:jc w:val="center"/>
              <w:rPr>
                <w:rFonts w:ascii="Inherit" w:hAnsi="Inherit" w:cs="Calibri"/>
                <w:sz w:val="22"/>
                <w:szCs w:val="22"/>
                <w:lang w:val="en-US" w:eastAsia="en-US"/>
              </w:rPr>
            </w:pPr>
            <w:r>
              <w:rPr>
                <w:sz w:val="24"/>
                <w:szCs w:val="24"/>
              </w:rPr>
              <w:t>487/7424 (6.6%) </w:t>
            </w:r>
          </w:p>
        </w:tc>
        <w:tc>
          <w:tcPr>
            <w:tcW w:w="2511" w:type="dxa"/>
            <w:shd w:val="clear" w:color="auto" w:fill="FFFFFF"/>
            <w:hideMark/>
          </w:tcPr>
          <w:p w14:paraId="02759FFD" w14:textId="77777777" w:rsidR="005173BB" w:rsidRDefault="005173BB">
            <w:pPr>
              <w:autoSpaceDE/>
              <w:jc w:val="center"/>
              <w:rPr>
                <w:rFonts w:ascii="Inherit" w:hAnsi="Inherit" w:cs="Calibri"/>
                <w:sz w:val="22"/>
                <w:szCs w:val="22"/>
                <w:lang w:val="en-US" w:eastAsia="en-US"/>
              </w:rPr>
            </w:pPr>
            <w:r>
              <w:rPr>
                <w:sz w:val="24"/>
                <w:szCs w:val="24"/>
              </w:rPr>
              <w:t>540/6179 (8.7%) </w:t>
            </w:r>
          </w:p>
        </w:tc>
        <w:tc>
          <w:tcPr>
            <w:tcW w:w="394" w:type="dxa"/>
            <w:shd w:val="clear" w:color="auto" w:fill="FFFFFF"/>
            <w:hideMark/>
          </w:tcPr>
          <w:p w14:paraId="75875A8A" w14:textId="77777777" w:rsidR="005173BB" w:rsidRDefault="005173BB">
            <w:pPr>
              <w:rPr>
                <w:rFonts w:ascii="Inherit" w:hAnsi="Inherit" w:cs="Calibri"/>
                <w:sz w:val="22"/>
                <w:szCs w:val="22"/>
                <w:lang w:val="en-US" w:eastAsia="en-US"/>
              </w:rPr>
            </w:pPr>
          </w:p>
        </w:tc>
        <w:tc>
          <w:tcPr>
            <w:tcW w:w="2633" w:type="dxa"/>
            <w:shd w:val="clear" w:color="auto" w:fill="FFFFFF"/>
            <w:hideMark/>
          </w:tcPr>
          <w:p w14:paraId="64A951B9" w14:textId="77777777" w:rsidR="005173BB" w:rsidRDefault="005173BB">
            <w:pPr>
              <w:autoSpaceDE/>
              <w:jc w:val="center"/>
              <w:rPr>
                <w:rFonts w:ascii="Inherit" w:hAnsi="Inherit" w:cs="Calibri"/>
                <w:sz w:val="22"/>
                <w:szCs w:val="22"/>
                <w:lang w:val="en-US" w:eastAsia="en-US"/>
              </w:rPr>
            </w:pPr>
            <w:r>
              <w:rPr>
                <w:sz w:val="24"/>
                <w:szCs w:val="24"/>
              </w:rPr>
              <w:t>435/7073 (6.2%) </w:t>
            </w:r>
          </w:p>
        </w:tc>
        <w:tc>
          <w:tcPr>
            <w:tcW w:w="2682" w:type="dxa"/>
            <w:shd w:val="clear" w:color="auto" w:fill="FFFFFF"/>
            <w:hideMark/>
          </w:tcPr>
          <w:p w14:paraId="4EB12536" w14:textId="77777777" w:rsidR="005173BB" w:rsidRDefault="005173BB">
            <w:pPr>
              <w:autoSpaceDE/>
              <w:jc w:val="center"/>
              <w:rPr>
                <w:rFonts w:ascii="Inherit" w:hAnsi="Inherit" w:cs="Calibri"/>
                <w:sz w:val="22"/>
                <w:szCs w:val="22"/>
                <w:lang w:val="en-US" w:eastAsia="en-US"/>
              </w:rPr>
            </w:pPr>
            <w:r>
              <w:rPr>
                <w:sz w:val="24"/>
                <w:szCs w:val="24"/>
              </w:rPr>
              <w:t>572/6525 (8.8%) </w:t>
            </w:r>
          </w:p>
        </w:tc>
      </w:tr>
      <w:tr w:rsidR="005173BB" w14:paraId="37FB2A58" w14:textId="77777777" w:rsidTr="005173BB">
        <w:trPr>
          <w:trHeight w:val="300"/>
          <w:jc w:val="center"/>
        </w:trPr>
        <w:tc>
          <w:tcPr>
            <w:tcW w:w="4280" w:type="dxa"/>
            <w:shd w:val="clear" w:color="auto" w:fill="FFFFFF"/>
            <w:vAlign w:val="center"/>
            <w:hideMark/>
          </w:tcPr>
          <w:p w14:paraId="39379C11"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ratio (95% CI)</w:t>
            </w:r>
          </w:p>
        </w:tc>
        <w:tc>
          <w:tcPr>
            <w:tcW w:w="2511" w:type="dxa"/>
            <w:shd w:val="clear" w:color="auto" w:fill="FFFFFF"/>
            <w:hideMark/>
          </w:tcPr>
          <w:p w14:paraId="256B007C"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3.20 (0.78 to 10.28) </w:t>
            </w:r>
          </w:p>
        </w:tc>
        <w:tc>
          <w:tcPr>
            <w:tcW w:w="2511" w:type="dxa"/>
            <w:shd w:val="clear" w:color="auto" w:fill="FFFFFF"/>
            <w:hideMark/>
          </w:tcPr>
          <w:p w14:paraId="14FE5364"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1.57 (0.56 to 5.17) </w:t>
            </w:r>
          </w:p>
        </w:tc>
        <w:tc>
          <w:tcPr>
            <w:tcW w:w="394" w:type="dxa"/>
            <w:shd w:val="clear" w:color="auto" w:fill="FFFFFF"/>
            <w:hideMark/>
          </w:tcPr>
          <w:p w14:paraId="7BD1DB99"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shd w:val="clear" w:color="auto" w:fill="FFFFFF"/>
            <w:hideMark/>
          </w:tcPr>
          <w:p w14:paraId="3CE2663B"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1.38 (0.46 to 5.67) </w:t>
            </w:r>
          </w:p>
        </w:tc>
        <w:tc>
          <w:tcPr>
            <w:tcW w:w="2682" w:type="dxa"/>
            <w:shd w:val="clear" w:color="auto" w:fill="FFFFFF"/>
            <w:hideMark/>
          </w:tcPr>
          <w:p w14:paraId="5478C3C4"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2.33 (0.45 to 11.48) </w:t>
            </w:r>
          </w:p>
        </w:tc>
      </w:tr>
      <w:tr w:rsidR="005173BB" w14:paraId="1E7CDB31" w14:textId="77777777" w:rsidTr="005173BB">
        <w:trPr>
          <w:trHeight w:val="290"/>
          <w:jc w:val="center"/>
        </w:trPr>
        <w:tc>
          <w:tcPr>
            <w:tcW w:w="4280" w:type="dxa"/>
            <w:tcBorders>
              <w:top w:val="nil"/>
              <w:left w:val="nil"/>
              <w:bottom w:val="single" w:sz="4" w:space="0" w:color="auto"/>
              <w:right w:val="nil"/>
            </w:tcBorders>
            <w:shd w:val="clear" w:color="auto" w:fill="FFFFFF"/>
            <w:vAlign w:val="center"/>
            <w:hideMark/>
          </w:tcPr>
          <w:p w14:paraId="39943A46" w14:textId="77777777" w:rsidR="005173BB" w:rsidRDefault="005173BB">
            <w:pPr>
              <w:autoSpaceDE/>
              <w:rPr>
                <w:rFonts w:ascii="Inherit" w:hAnsi="Inherit" w:cs="Calibri"/>
                <w:sz w:val="22"/>
                <w:szCs w:val="22"/>
                <w:lang w:val="en-US" w:eastAsia="en-US"/>
              </w:rPr>
            </w:pPr>
            <w:r>
              <w:rPr>
                <w:sz w:val="24"/>
                <w:szCs w:val="24"/>
                <w:lang w:val="en-US" w:eastAsia="en-US"/>
              </w:rPr>
              <w:t> </w:t>
            </w:r>
            <w:r>
              <w:rPr>
                <w:sz w:val="24"/>
                <w:szCs w:val="24"/>
                <w:lang w:val="en-US" w:eastAsia="en-US"/>
              </w:rPr>
              <w:t>Adjusted risk difference (95% CI)</w:t>
            </w:r>
          </w:p>
        </w:tc>
        <w:tc>
          <w:tcPr>
            <w:tcW w:w="2511" w:type="dxa"/>
            <w:tcBorders>
              <w:top w:val="nil"/>
              <w:left w:val="nil"/>
              <w:bottom w:val="single" w:sz="4" w:space="0" w:color="auto"/>
              <w:right w:val="nil"/>
            </w:tcBorders>
            <w:shd w:val="clear" w:color="auto" w:fill="FFFFFF"/>
            <w:hideMark/>
          </w:tcPr>
          <w:p w14:paraId="068C7423"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+0.91% (-0.23 to 3.42) </w:t>
            </w:r>
          </w:p>
        </w:tc>
        <w:tc>
          <w:tcPr>
            <w:tcW w:w="2511" w:type="dxa"/>
            <w:tcBorders>
              <w:top w:val="nil"/>
              <w:left w:val="nil"/>
              <w:bottom w:val="single" w:sz="4" w:space="0" w:color="auto"/>
              <w:right w:val="nil"/>
            </w:tcBorders>
            <w:shd w:val="clear" w:color="auto" w:fill="FFFFFF"/>
            <w:hideMark/>
          </w:tcPr>
          <w:p w14:paraId="55501AFC"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+1.09% (-2.05 to 4.60) </w:t>
            </w:r>
          </w:p>
        </w:tc>
        <w:tc>
          <w:tcPr>
            <w:tcW w:w="394" w:type="dxa"/>
            <w:tcBorders>
              <w:top w:val="nil"/>
              <w:left w:val="nil"/>
              <w:bottom w:val="single" w:sz="4" w:space="0" w:color="auto"/>
              <w:right w:val="nil"/>
            </w:tcBorders>
            <w:shd w:val="clear" w:color="auto" w:fill="FFFFFF"/>
            <w:hideMark/>
          </w:tcPr>
          <w:p w14:paraId="7D281F31" w14:textId="77777777" w:rsidR="005173BB" w:rsidRDefault="005173BB">
            <w:pPr>
              <w:autoSpaceDE/>
              <w:jc w:val="center"/>
              <w:rPr>
                <w:rFonts w:ascii="Inherit" w:hAnsi="Inherit" w:cs="Calibri"/>
                <w:color w:val="FF0000"/>
                <w:sz w:val="22"/>
                <w:szCs w:val="22"/>
                <w:lang w:val="en-US" w:eastAsia="en-US"/>
              </w:rPr>
            </w:pPr>
            <w:r>
              <w:rPr>
                <w:rFonts w:ascii="Inherit" w:hAnsi="Inherit" w:cs="Calibri"/>
                <w:color w:val="FF0000"/>
                <w:sz w:val="22"/>
                <w:szCs w:val="22"/>
                <w:lang w:val="en-US" w:eastAsia="en-US"/>
              </w:rPr>
              <w:t> </w:t>
            </w:r>
          </w:p>
        </w:tc>
        <w:tc>
          <w:tcPr>
            <w:tcW w:w="2633" w:type="dxa"/>
            <w:tcBorders>
              <w:top w:val="nil"/>
              <w:left w:val="nil"/>
              <w:bottom w:val="single" w:sz="4" w:space="0" w:color="auto"/>
              <w:right w:val="nil"/>
            </w:tcBorders>
            <w:shd w:val="clear" w:color="auto" w:fill="FFFFFF"/>
            <w:hideMark/>
          </w:tcPr>
          <w:p w14:paraId="07419F5A"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+0.25% (-0.72 to 1.80) </w:t>
            </w:r>
          </w:p>
        </w:tc>
        <w:tc>
          <w:tcPr>
            <w:tcW w:w="2682" w:type="dxa"/>
            <w:tcBorders>
              <w:top w:val="nil"/>
              <w:left w:val="nil"/>
              <w:bottom w:val="single" w:sz="4" w:space="0" w:color="auto"/>
              <w:right w:val="nil"/>
            </w:tcBorders>
            <w:shd w:val="clear" w:color="auto" w:fill="FFFFFF"/>
            <w:hideMark/>
          </w:tcPr>
          <w:p w14:paraId="7B8AFF9B" w14:textId="77777777" w:rsidR="005173BB" w:rsidRDefault="005173BB">
            <w:pPr>
              <w:autoSpaceDE/>
              <w:jc w:val="center"/>
              <w:rPr>
                <w:rFonts w:ascii="Inherit" w:hAnsi="Inherit" w:cs="Calibri"/>
                <w:sz w:val="22"/>
                <w:szCs w:val="22"/>
                <w:lang w:val="en-US" w:eastAsia="en-US"/>
              </w:rPr>
            </w:pPr>
            <w:r>
              <w:rPr>
                <w:rFonts w:ascii="Inherit" w:hAnsi="Inherit" w:cs="Calibri"/>
                <w:sz w:val="22"/>
                <w:szCs w:val="22"/>
                <w:lang w:val="en-US" w:eastAsia="en-US"/>
              </w:rPr>
              <w:t>+1.92% (-0.03 to 6.76) </w:t>
            </w:r>
          </w:p>
        </w:tc>
      </w:tr>
    </w:tbl>
    <w:p w14:paraId="36F1A046" w14:textId="77777777" w:rsidR="005173BB" w:rsidRDefault="005173BB" w:rsidP="005173BB">
      <w:pPr>
        <w:ind w:firstLine="720"/>
        <w:rPr>
          <w:lang w:val="en-US"/>
        </w:rPr>
      </w:pPr>
      <w:r>
        <w:rPr>
          <w:vertAlign w:val="superscript"/>
          <w:lang w:val="en-US"/>
        </w:rPr>
        <w:t>a</w:t>
      </w:r>
      <w:r>
        <w:rPr>
          <w:lang w:val="en-US"/>
        </w:rPr>
        <w:t>200 iterations were performed for bootstrapping the estimates 95% confidence interval</w:t>
      </w:r>
    </w:p>
    <w:p w14:paraId="6E9E5D1E" w14:textId="77777777" w:rsidR="005173BB" w:rsidRDefault="005173BB" w:rsidP="005173BB">
      <w:pPr>
        <w:ind w:firstLine="720"/>
        <w:rPr>
          <w:lang w:val="en-US"/>
        </w:rPr>
      </w:pPr>
      <w:r>
        <w:rPr>
          <w:lang w:val="en-US"/>
        </w:rPr>
        <w:t>Low level: 5</w:t>
      </w:r>
      <w:r>
        <w:rPr>
          <w:vertAlign w:val="superscript"/>
          <w:lang w:val="en-US"/>
        </w:rPr>
        <w:t>th</w:t>
      </w:r>
      <w:r>
        <w:rPr>
          <w:lang w:val="en-US"/>
        </w:rPr>
        <w:t xml:space="preserve"> percentiles of blood lead (0.70 </w:t>
      </w:r>
      <w:r>
        <w:t>μ</w:t>
      </w:r>
      <w:r>
        <w:rPr>
          <w:lang w:val="en-US"/>
        </w:rPr>
        <w:t xml:space="preserve">g/dL or 0.03 </w:t>
      </w:r>
      <w:proofErr w:type="spellStart"/>
      <w:r>
        <w:rPr>
          <w:lang w:val="en-US"/>
        </w:rPr>
        <w:t>umol</w:t>
      </w:r>
      <w:proofErr w:type="spellEnd"/>
      <w:r>
        <w:rPr>
          <w:lang w:val="en-US"/>
        </w:rPr>
        <w:t xml:space="preserve">/L) and urinary cadmium (0.04 </w:t>
      </w:r>
      <w:r>
        <w:t>μ</w:t>
      </w:r>
      <w:r>
        <w:rPr>
          <w:lang w:val="en-US"/>
        </w:rPr>
        <w:t>g/g) distributions</w:t>
      </w:r>
    </w:p>
    <w:p w14:paraId="4C6730DF" w14:textId="77777777" w:rsidR="005173BB" w:rsidRDefault="005173BB" w:rsidP="005173BB">
      <w:pPr>
        <w:ind w:firstLine="720"/>
        <w:rPr>
          <w:lang w:val="en-US"/>
        </w:rPr>
      </w:pPr>
      <w:r>
        <w:rPr>
          <w:lang w:val="en-US"/>
        </w:rPr>
        <w:t>High level: 95</w:t>
      </w:r>
      <w:r>
        <w:rPr>
          <w:vertAlign w:val="superscript"/>
          <w:lang w:val="en-US"/>
        </w:rPr>
        <w:t>th</w:t>
      </w:r>
      <w:r>
        <w:rPr>
          <w:lang w:val="en-US"/>
        </w:rPr>
        <w:t xml:space="preserve"> percentiles of blood lead (9.70 </w:t>
      </w:r>
      <w:r>
        <w:t>μ</w:t>
      </w:r>
      <w:r>
        <w:rPr>
          <w:lang w:val="en-US"/>
        </w:rPr>
        <w:t xml:space="preserve">g/dL or 0.47 </w:t>
      </w:r>
      <w:proofErr w:type="spellStart"/>
      <w:r>
        <w:rPr>
          <w:lang w:val="en-US"/>
        </w:rPr>
        <w:t>umol</w:t>
      </w:r>
      <w:proofErr w:type="spellEnd"/>
      <w:r>
        <w:rPr>
          <w:lang w:val="en-US"/>
        </w:rPr>
        <w:t xml:space="preserve">/L) and urinary cadmium (1.63 </w:t>
      </w:r>
      <w:r>
        <w:t>μ</w:t>
      </w:r>
      <w:r>
        <w:rPr>
          <w:lang w:val="en-US"/>
        </w:rPr>
        <w:t>g/g) distributions</w:t>
      </w:r>
    </w:p>
    <w:p w14:paraId="2DCAC749" w14:textId="77777777" w:rsidR="005173BB" w:rsidRDefault="005173BB" w:rsidP="005173BB">
      <w:pPr>
        <w:autoSpaceDE/>
        <w:autoSpaceDN/>
        <w:rPr>
          <w:lang w:val="en-US"/>
        </w:rPr>
        <w:sectPr w:rsidR="005173BB">
          <w:pgSz w:w="15840" w:h="12240" w:orient="landscape"/>
          <w:pgMar w:top="1440" w:right="1440" w:bottom="1440" w:left="1440" w:header="720" w:footer="720" w:gutter="0"/>
          <w:cols w:space="720"/>
        </w:sectPr>
      </w:pPr>
    </w:p>
    <w:p w14:paraId="574C010D" w14:textId="77777777" w:rsidR="005173BB" w:rsidRDefault="005173BB" w:rsidP="005173BB">
      <w:pPr>
        <w:rPr>
          <w:lang w:val="en-US"/>
        </w:rPr>
      </w:pPr>
      <w:r>
        <w:rPr>
          <w:lang w:val="en-US"/>
        </w:rPr>
        <w:lastRenderedPageBreak/>
        <w:t xml:space="preserve">Table S3: </w:t>
      </w:r>
      <w:r>
        <w:rPr>
          <w:b/>
          <w:bCs/>
          <w:lang w:val="en-US"/>
        </w:rPr>
        <w:t>Unweighted</w:t>
      </w:r>
      <w:r>
        <w:rPr>
          <w:lang w:val="en-US"/>
        </w:rPr>
        <w:t xml:space="preserve"> adjusted all-cause and specific-cause of mortality risk ratio and risk difference of metals percentile 95 and 5 values using parametric g-formula with weighted pooled logistic regression </w:t>
      </w:r>
      <w:proofErr w:type="spellStart"/>
      <w:r>
        <w:rPr>
          <w:lang w:val="en-US"/>
        </w:rPr>
        <w:t>models</w:t>
      </w:r>
      <w:r>
        <w:rPr>
          <w:vertAlign w:val="superscript"/>
          <w:lang w:val="en-US"/>
        </w:rPr>
        <w:t>a</w:t>
      </w:r>
      <w:proofErr w:type="spellEnd"/>
      <w:r>
        <w:rPr>
          <w:lang w:val="en-US"/>
        </w:rPr>
        <w:t xml:space="preserve"> </w:t>
      </w:r>
    </w:p>
    <w:p w14:paraId="19D13F25" w14:textId="77777777" w:rsidR="005173BB" w:rsidRDefault="005173BB" w:rsidP="005173BB">
      <w:pPr>
        <w:rPr>
          <w:lang w:val="en-US"/>
        </w:rPr>
      </w:pPr>
    </w:p>
    <w:tbl>
      <w:tblPr>
        <w:tblW w:w="9663" w:type="dxa"/>
        <w:jc w:val="center"/>
        <w:tblLook w:val="04A0" w:firstRow="1" w:lastRow="0" w:firstColumn="1" w:lastColumn="0" w:noHBand="0" w:noVBand="1"/>
      </w:tblPr>
      <w:tblGrid>
        <w:gridCol w:w="4442"/>
        <w:gridCol w:w="2541"/>
        <w:gridCol w:w="222"/>
        <w:gridCol w:w="2458"/>
      </w:tblGrid>
      <w:tr w:rsidR="005173BB" w14:paraId="21707473" w14:textId="77777777" w:rsidTr="005173BB">
        <w:trPr>
          <w:trHeight w:val="290"/>
          <w:jc w:val="center"/>
        </w:trPr>
        <w:tc>
          <w:tcPr>
            <w:tcW w:w="4442" w:type="dxa"/>
            <w:tcBorders>
              <w:top w:val="single" w:sz="4" w:space="0" w:color="auto"/>
              <w:left w:val="nil"/>
              <w:bottom w:val="single" w:sz="4" w:space="0" w:color="auto"/>
              <w:right w:val="nil"/>
            </w:tcBorders>
            <w:vAlign w:val="center"/>
            <w:hideMark/>
          </w:tcPr>
          <w:p w14:paraId="0B7025BE" w14:textId="77777777" w:rsidR="005173BB" w:rsidRDefault="005173BB">
            <w:pPr>
              <w:rPr>
                <w:b/>
                <w:bCs/>
                <w:lang w:val="en-US"/>
              </w:rPr>
            </w:pPr>
            <w:r>
              <w:rPr>
                <w:b/>
                <w:bCs/>
                <w:lang w:val="en-US"/>
              </w:rPr>
              <w:t>Outcomes</w:t>
            </w:r>
          </w:p>
        </w:tc>
        <w:tc>
          <w:tcPr>
            <w:tcW w:w="2541" w:type="dxa"/>
            <w:tcBorders>
              <w:top w:val="single" w:sz="4" w:space="0" w:color="auto"/>
              <w:left w:val="nil"/>
              <w:bottom w:val="single" w:sz="4" w:space="0" w:color="auto"/>
              <w:right w:val="nil"/>
            </w:tcBorders>
            <w:hideMark/>
          </w:tcPr>
          <w:p w14:paraId="68649F72" w14:textId="77777777" w:rsidR="005173BB" w:rsidRDefault="005173BB">
            <w:pPr>
              <w:jc w:val="center"/>
              <w:rPr>
                <w:lang w:val="en-US"/>
              </w:rPr>
            </w:pPr>
            <w:r>
              <w:rPr>
                <w:b/>
                <w:bCs/>
                <w:lang w:val="en-US"/>
              </w:rPr>
              <w:t xml:space="preserve">Blood </w:t>
            </w:r>
            <w:proofErr w:type="gramStart"/>
            <w:r>
              <w:rPr>
                <w:b/>
                <w:bCs/>
                <w:lang w:val="en-US"/>
              </w:rPr>
              <w:t>lead</w:t>
            </w:r>
            <w:proofErr w:type="gramEnd"/>
          </w:p>
        </w:tc>
        <w:tc>
          <w:tcPr>
            <w:tcW w:w="222" w:type="dxa"/>
            <w:tcBorders>
              <w:top w:val="single" w:sz="4" w:space="0" w:color="auto"/>
              <w:left w:val="nil"/>
              <w:bottom w:val="nil"/>
              <w:right w:val="nil"/>
            </w:tcBorders>
            <w:noWrap/>
            <w:vAlign w:val="bottom"/>
          </w:tcPr>
          <w:p w14:paraId="7745C5CE" w14:textId="77777777" w:rsidR="005173BB" w:rsidRDefault="005173BB">
            <w:pPr>
              <w:jc w:val="center"/>
              <w:rPr>
                <w:lang w:val="en-US"/>
              </w:rPr>
            </w:pPr>
          </w:p>
        </w:tc>
        <w:tc>
          <w:tcPr>
            <w:tcW w:w="2458" w:type="dxa"/>
            <w:tcBorders>
              <w:top w:val="single" w:sz="4" w:space="0" w:color="auto"/>
              <w:left w:val="nil"/>
              <w:bottom w:val="single" w:sz="4" w:space="0" w:color="auto"/>
              <w:right w:val="nil"/>
            </w:tcBorders>
            <w:hideMark/>
          </w:tcPr>
          <w:p w14:paraId="4AC27788" w14:textId="77777777" w:rsidR="005173BB" w:rsidRDefault="005173BB">
            <w:pPr>
              <w:jc w:val="center"/>
              <w:rPr>
                <w:b/>
                <w:bCs/>
                <w:lang w:val="en-US"/>
              </w:rPr>
            </w:pPr>
            <w:r>
              <w:rPr>
                <w:b/>
                <w:bCs/>
                <w:lang w:val="en-US"/>
              </w:rPr>
              <w:t>Urinary cadmium</w:t>
            </w:r>
          </w:p>
        </w:tc>
      </w:tr>
      <w:tr w:rsidR="005173BB" w14:paraId="6BD1D576" w14:textId="77777777" w:rsidTr="005173BB">
        <w:trPr>
          <w:trHeight w:val="300"/>
          <w:jc w:val="center"/>
        </w:trPr>
        <w:tc>
          <w:tcPr>
            <w:tcW w:w="4442" w:type="dxa"/>
            <w:shd w:val="clear" w:color="auto" w:fill="FFFFFF"/>
            <w:vAlign w:val="center"/>
            <w:hideMark/>
          </w:tcPr>
          <w:p w14:paraId="723023A9" w14:textId="77777777" w:rsidR="005173BB" w:rsidRDefault="005173BB">
            <w:pPr>
              <w:rPr>
                <w:b/>
                <w:bCs/>
                <w:lang w:val="en-US"/>
              </w:rPr>
            </w:pPr>
            <w:r>
              <w:rPr>
                <w:b/>
                <w:bCs/>
                <w:lang w:val="en-US"/>
              </w:rPr>
              <w:t>All-cause mortality</w:t>
            </w:r>
          </w:p>
        </w:tc>
        <w:tc>
          <w:tcPr>
            <w:tcW w:w="2541" w:type="dxa"/>
            <w:tcBorders>
              <w:top w:val="single" w:sz="4" w:space="0" w:color="auto"/>
              <w:left w:val="nil"/>
              <w:bottom w:val="nil"/>
              <w:right w:val="nil"/>
            </w:tcBorders>
            <w:vAlign w:val="center"/>
          </w:tcPr>
          <w:p w14:paraId="3BD4F9F7" w14:textId="77777777" w:rsidR="005173BB" w:rsidRDefault="005173BB">
            <w:pPr>
              <w:jc w:val="center"/>
              <w:rPr>
                <w:lang w:val="en-US"/>
              </w:rPr>
            </w:pPr>
          </w:p>
        </w:tc>
        <w:tc>
          <w:tcPr>
            <w:tcW w:w="222" w:type="dxa"/>
            <w:noWrap/>
            <w:vAlign w:val="center"/>
            <w:hideMark/>
          </w:tcPr>
          <w:p w14:paraId="74863E09" w14:textId="77777777" w:rsidR="005173BB" w:rsidRDefault="005173BB">
            <w:pPr>
              <w:rPr>
                <w:lang w:val="en-US"/>
              </w:rPr>
            </w:pPr>
          </w:p>
        </w:tc>
        <w:tc>
          <w:tcPr>
            <w:tcW w:w="2458" w:type="dxa"/>
            <w:shd w:val="clear" w:color="auto" w:fill="FFFFFF"/>
          </w:tcPr>
          <w:p w14:paraId="5D06E025" w14:textId="77777777" w:rsidR="005173BB" w:rsidRDefault="005173BB">
            <w:pPr>
              <w:jc w:val="center"/>
              <w:rPr>
                <w:lang w:val="en-US"/>
              </w:rPr>
            </w:pPr>
          </w:p>
        </w:tc>
      </w:tr>
      <w:tr w:rsidR="005173BB" w14:paraId="2588051E" w14:textId="77777777" w:rsidTr="005173BB">
        <w:trPr>
          <w:trHeight w:val="300"/>
          <w:jc w:val="center"/>
        </w:trPr>
        <w:tc>
          <w:tcPr>
            <w:tcW w:w="4442" w:type="dxa"/>
            <w:shd w:val="clear" w:color="auto" w:fill="FFFFFF"/>
            <w:vAlign w:val="center"/>
            <w:hideMark/>
          </w:tcPr>
          <w:p w14:paraId="6BF710E4" w14:textId="77777777" w:rsidR="005173BB" w:rsidRDefault="005173BB">
            <w:pPr>
              <w:rPr>
                <w:lang w:val="en-US"/>
              </w:rPr>
            </w:pPr>
            <w:r>
              <w:rPr>
                <w:lang w:val="en-US"/>
              </w:rPr>
              <w:t> </w:t>
            </w:r>
            <w:r>
              <w:rPr>
                <w:lang w:val="en-US"/>
              </w:rPr>
              <w:t>Number of events (%) among low level</w:t>
            </w:r>
          </w:p>
        </w:tc>
        <w:tc>
          <w:tcPr>
            <w:tcW w:w="2541" w:type="dxa"/>
            <w:hideMark/>
          </w:tcPr>
          <w:p w14:paraId="004FF2F1" w14:textId="77777777" w:rsidR="005173BB" w:rsidRDefault="005173BB">
            <w:pPr>
              <w:jc w:val="center"/>
              <w:rPr>
                <w:color w:val="FF0000"/>
                <w:lang w:val="en-US"/>
              </w:rPr>
            </w:pPr>
            <w:r>
              <w:t>177/1217 (14.5%) </w:t>
            </w:r>
          </w:p>
        </w:tc>
        <w:tc>
          <w:tcPr>
            <w:tcW w:w="222" w:type="dxa"/>
            <w:noWrap/>
          </w:tcPr>
          <w:p w14:paraId="1627C1A0" w14:textId="77777777" w:rsidR="005173BB" w:rsidRDefault="005173BB">
            <w:pPr>
              <w:jc w:val="center"/>
              <w:rPr>
                <w:color w:val="FF0000"/>
                <w:lang w:val="en-US"/>
              </w:rPr>
            </w:pPr>
          </w:p>
        </w:tc>
        <w:tc>
          <w:tcPr>
            <w:tcW w:w="2458" w:type="dxa"/>
            <w:shd w:val="clear" w:color="auto" w:fill="FFFFFF"/>
            <w:hideMark/>
          </w:tcPr>
          <w:p w14:paraId="0E3BC1D7" w14:textId="77777777" w:rsidR="005173BB" w:rsidRDefault="005173BB">
            <w:pPr>
              <w:jc w:val="center"/>
              <w:rPr>
                <w:color w:val="FF0000"/>
                <w:lang w:val="en-US"/>
              </w:rPr>
            </w:pPr>
            <w:r>
              <w:t>122/682 (17.9%) </w:t>
            </w:r>
          </w:p>
        </w:tc>
      </w:tr>
      <w:tr w:rsidR="005173BB" w14:paraId="677F3A76" w14:textId="77777777" w:rsidTr="005173BB">
        <w:trPr>
          <w:trHeight w:val="300"/>
          <w:jc w:val="center"/>
        </w:trPr>
        <w:tc>
          <w:tcPr>
            <w:tcW w:w="4442" w:type="dxa"/>
            <w:shd w:val="clear" w:color="auto" w:fill="FFFFFF"/>
            <w:vAlign w:val="center"/>
            <w:hideMark/>
          </w:tcPr>
          <w:p w14:paraId="6E391BC8" w14:textId="77777777" w:rsidR="005173BB" w:rsidRDefault="005173BB">
            <w:pPr>
              <w:rPr>
                <w:lang w:val="en-US"/>
              </w:rPr>
            </w:pPr>
            <w:r>
              <w:rPr>
                <w:lang w:val="en-US"/>
              </w:rPr>
              <w:t> </w:t>
            </w:r>
            <w:r>
              <w:rPr>
                <w:lang w:val="en-US"/>
              </w:rPr>
              <w:t>Number of events (%) among high level</w:t>
            </w:r>
          </w:p>
        </w:tc>
        <w:tc>
          <w:tcPr>
            <w:tcW w:w="2541" w:type="dxa"/>
            <w:hideMark/>
          </w:tcPr>
          <w:p w14:paraId="1FEBA971" w14:textId="77777777" w:rsidR="005173BB" w:rsidRDefault="005173BB">
            <w:pPr>
              <w:jc w:val="center"/>
              <w:rPr>
                <w:color w:val="FF0000"/>
                <w:lang w:val="en-US"/>
              </w:rPr>
            </w:pPr>
            <w:r>
              <w:t>4767/13603 (35.0%) </w:t>
            </w:r>
          </w:p>
        </w:tc>
        <w:tc>
          <w:tcPr>
            <w:tcW w:w="222" w:type="dxa"/>
            <w:noWrap/>
          </w:tcPr>
          <w:p w14:paraId="2ED0092D" w14:textId="77777777" w:rsidR="005173BB" w:rsidRDefault="005173BB">
            <w:pPr>
              <w:jc w:val="center"/>
              <w:rPr>
                <w:color w:val="FF0000"/>
                <w:lang w:val="en-US"/>
              </w:rPr>
            </w:pPr>
          </w:p>
        </w:tc>
        <w:tc>
          <w:tcPr>
            <w:tcW w:w="2458" w:type="dxa"/>
            <w:shd w:val="clear" w:color="auto" w:fill="FFFFFF"/>
            <w:hideMark/>
          </w:tcPr>
          <w:p w14:paraId="7DFCD4DE" w14:textId="77777777" w:rsidR="005173BB" w:rsidRDefault="005173BB">
            <w:pPr>
              <w:jc w:val="center"/>
              <w:rPr>
                <w:color w:val="FF0000"/>
                <w:lang w:val="en-US"/>
              </w:rPr>
            </w:pPr>
            <w:r>
              <w:t>4645/13598 (34.2%) </w:t>
            </w:r>
          </w:p>
        </w:tc>
      </w:tr>
      <w:tr w:rsidR="005173BB" w14:paraId="3FD00807" w14:textId="77777777" w:rsidTr="005173BB">
        <w:trPr>
          <w:trHeight w:val="300"/>
          <w:jc w:val="center"/>
        </w:trPr>
        <w:tc>
          <w:tcPr>
            <w:tcW w:w="4442" w:type="dxa"/>
            <w:shd w:val="clear" w:color="auto" w:fill="FFFFFF"/>
            <w:vAlign w:val="center"/>
            <w:hideMark/>
          </w:tcPr>
          <w:p w14:paraId="16F2BDC7" w14:textId="77777777" w:rsidR="005173BB" w:rsidRDefault="005173BB">
            <w:pPr>
              <w:rPr>
                <w:lang w:val="en-US"/>
              </w:rPr>
            </w:pPr>
            <w:r>
              <w:rPr>
                <w:lang w:val="en-US"/>
              </w:rPr>
              <w:t> </w:t>
            </w:r>
            <w:r>
              <w:rPr>
                <w:lang w:val="en-US"/>
              </w:rPr>
              <w:t>Adjusted risk ratio (95% CI)</w:t>
            </w:r>
          </w:p>
        </w:tc>
        <w:tc>
          <w:tcPr>
            <w:tcW w:w="2541" w:type="dxa"/>
            <w:vAlign w:val="center"/>
            <w:hideMark/>
          </w:tcPr>
          <w:p w14:paraId="796726E6" w14:textId="77777777" w:rsidR="005173BB" w:rsidRDefault="005173BB">
            <w:pPr>
              <w:jc w:val="center"/>
              <w:rPr>
                <w:lang w:val="en-US"/>
              </w:rPr>
            </w:pPr>
            <w:r>
              <w:rPr>
                <w:lang w:val="en-US"/>
              </w:rPr>
              <w:t>1.60 (1.20 to 2.40)</w:t>
            </w:r>
          </w:p>
        </w:tc>
        <w:tc>
          <w:tcPr>
            <w:tcW w:w="222" w:type="dxa"/>
            <w:noWrap/>
            <w:vAlign w:val="center"/>
            <w:hideMark/>
          </w:tcPr>
          <w:p w14:paraId="054C3AD2" w14:textId="77777777" w:rsidR="005173BB" w:rsidRDefault="005173BB">
            <w:pPr>
              <w:rPr>
                <w:lang w:val="en-US"/>
              </w:rPr>
            </w:pPr>
          </w:p>
        </w:tc>
        <w:tc>
          <w:tcPr>
            <w:tcW w:w="2458" w:type="dxa"/>
            <w:shd w:val="clear" w:color="auto" w:fill="FFFFFF"/>
            <w:vAlign w:val="center"/>
            <w:hideMark/>
          </w:tcPr>
          <w:p w14:paraId="5879481B" w14:textId="77777777" w:rsidR="005173BB" w:rsidRDefault="005173BB">
            <w:pPr>
              <w:jc w:val="center"/>
              <w:rPr>
                <w:lang w:val="en-US"/>
              </w:rPr>
            </w:pPr>
            <w:r>
              <w:rPr>
                <w:lang w:val="en-US"/>
              </w:rPr>
              <w:t>2.70 (2.07 to 4.87)</w:t>
            </w:r>
          </w:p>
        </w:tc>
      </w:tr>
      <w:tr w:rsidR="005173BB" w14:paraId="71DCE5B3" w14:textId="77777777" w:rsidTr="005173BB">
        <w:trPr>
          <w:trHeight w:val="290"/>
          <w:jc w:val="center"/>
        </w:trPr>
        <w:tc>
          <w:tcPr>
            <w:tcW w:w="4442" w:type="dxa"/>
            <w:tcBorders>
              <w:top w:val="nil"/>
              <w:left w:val="nil"/>
              <w:bottom w:val="dashed" w:sz="4" w:space="0" w:color="auto"/>
              <w:right w:val="nil"/>
            </w:tcBorders>
            <w:shd w:val="clear" w:color="auto" w:fill="FFFFFF"/>
            <w:vAlign w:val="center"/>
            <w:hideMark/>
          </w:tcPr>
          <w:p w14:paraId="2AD0D4AD" w14:textId="77777777" w:rsidR="005173BB" w:rsidRDefault="005173BB">
            <w:pPr>
              <w:rPr>
                <w:lang w:val="en-US"/>
              </w:rPr>
            </w:pPr>
            <w:r>
              <w:rPr>
                <w:lang w:val="en-US"/>
              </w:rPr>
              <w:t> </w:t>
            </w:r>
            <w:r>
              <w:rPr>
                <w:lang w:val="en-US"/>
              </w:rPr>
              <w:t>Adjusted risk difference (95% CI)</w:t>
            </w:r>
          </w:p>
        </w:tc>
        <w:tc>
          <w:tcPr>
            <w:tcW w:w="2541" w:type="dxa"/>
            <w:tcBorders>
              <w:top w:val="nil"/>
              <w:left w:val="nil"/>
              <w:bottom w:val="dashed" w:sz="4" w:space="0" w:color="auto"/>
              <w:right w:val="nil"/>
            </w:tcBorders>
            <w:vAlign w:val="center"/>
            <w:hideMark/>
          </w:tcPr>
          <w:p w14:paraId="287BCC69" w14:textId="77777777" w:rsidR="005173BB" w:rsidRDefault="005173BB">
            <w:pPr>
              <w:jc w:val="center"/>
              <w:rPr>
                <w:lang w:val="en-US"/>
              </w:rPr>
            </w:pPr>
            <w:r>
              <w:rPr>
                <w:lang w:val="en-US"/>
              </w:rPr>
              <w:t>+3.91% (1.84 to 8.36)</w:t>
            </w:r>
          </w:p>
        </w:tc>
        <w:tc>
          <w:tcPr>
            <w:tcW w:w="222" w:type="dxa"/>
            <w:tcBorders>
              <w:top w:val="nil"/>
              <w:left w:val="nil"/>
              <w:bottom w:val="dashed" w:sz="4" w:space="0" w:color="auto"/>
              <w:right w:val="nil"/>
            </w:tcBorders>
            <w:noWrap/>
            <w:vAlign w:val="center"/>
            <w:hideMark/>
          </w:tcPr>
          <w:p w14:paraId="305DB0A3" w14:textId="77777777" w:rsidR="005173BB" w:rsidRDefault="005173BB">
            <w:pPr>
              <w:rPr>
                <w:lang w:val="en-US"/>
              </w:rPr>
            </w:pPr>
          </w:p>
        </w:tc>
        <w:tc>
          <w:tcPr>
            <w:tcW w:w="2458" w:type="dxa"/>
            <w:tcBorders>
              <w:top w:val="nil"/>
              <w:left w:val="nil"/>
              <w:bottom w:val="dashed" w:sz="4" w:space="0" w:color="auto"/>
              <w:right w:val="nil"/>
            </w:tcBorders>
            <w:shd w:val="clear" w:color="auto" w:fill="FFFFFF"/>
            <w:vAlign w:val="center"/>
            <w:hideMark/>
          </w:tcPr>
          <w:p w14:paraId="154E248D" w14:textId="77777777" w:rsidR="005173BB" w:rsidRDefault="005173BB">
            <w:pPr>
              <w:jc w:val="center"/>
              <w:rPr>
                <w:lang w:val="en-US"/>
              </w:rPr>
            </w:pPr>
            <w:r>
              <w:rPr>
                <w:lang w:val="en-US"/>
              </w:rPr>
              <w:t>+6.90% (6.00 to 11.88)</w:t>
            </w:r>
          </w:p>
        </w:tc>
      </w:tr>
      <w:tr w:rsidR="005173BB" w14:paraId="550B02DE" w14:textId="77777777" w:rsidTr="005173BB">
        <w:trPr>
          <w:trHeight w:val="300"/>
          <w:jc w:val="center"/>
        </w:trPr>
        <w:tc>
          <w:tcPr>
            <w:tcW w:w="4442" w:type="dxa"/>
            <w:shd w:val="clear" w:color="auto" w:fill="FFFFFF"/>
            <w:vAlign w:val="center"/>
            <w:hideMark/>
          </w:tcPr>
          <w:p w14:paraId="4264F1DF" w14:textId="77777777" w:rsidR="005173BB" w:rsidRDefault="005173BB">
            <w:pPr>
              <w:rPr>
                <w:b/>
                <w:bCs/>
                <w:lang w:val="en-US"/>
              </w:rPr>
            </w:pPr>
            <w:r>
              <w:rPr>
                <w:b/>
                <w:bCs/>
                <w:lang w:val="en-US"/>
              </w:rPr>
              <w:t>Cardiovascular mortality</w:t>
            </w:r>
          </w:p>
        </w:tc>
        <w:tc>
          <w:tcPr>
            <w:tcW w:w="2541" w:type="dxa"/>
            <w:vAlign w:val="center"/>
          </w:tcPr>
          <w:p w14:paraId="359FDCF1" w14:textId="77777777" w:rsidR="005173BB" w:rsidRDefault="005173BB">
            <w:pPr>
              <w:jc w:val="center"/>
              <w:rPr>
                <w:color w:val="FF0000"/>
                <w:lang w:val="en-US"/>
              </w:rPr>
            </w:pPr>
          </w:p>
        </w:tc>
        <w:tc>
          <w:tcPr>
            <w:tcW w:w="222" w:type="dxa"/>
            <w:noWrap/>
            <w:vAlign w:val="center"/>
            <w:hideMark/>
          </w:tcPr>
          <w:p w14:paraId="50EBD6BA" w14:textId="77777777" w:rsidR="005173BB" w:rsidRDefault="005173BB">
            <w:pPr>
              <w:rPr>
                <w:color w:val="FF0000"/>
                <w:lang w:val="en-US"/>
              </w:rPr>
            </w:pPr>
          </w:p>
        </w:tc>
        <w:tc>
          <w:tcPr>
            <w:tcW w:w="2458" w:type="dxa"/>
            <w:shd w:val="clear" w:color="auto" w:fill="FFFFFF"/>
            <w:vAlign w:val="center"/>
          </w:tcPr>
          <w:p w14:paraId="02997ADC" w14:textId="77777777" w:rsidR="005173BB" w:rsidRDefault="005173BB">
            <w:pPr>
              <w:jc w:val="center"/>
              <w:rPr>
                <w:color w:val="FF0000"/>
                <w:lang w:val="en-US"/>
              </w:rPr>
            </w:pPr>
          </w:p>
        </w:tc>
      </w:tr>
      <w:tr w:rsidR="005173BB" w14:paraId="65A0B6DA" w14:textId="77777777" w:rsidTr="005173BB">
        <w:trPr>
          <w:trHeight w:val="300"/>
          <w:jc w:val="center"/>
        </w:trPr>
        <w:tc>
          <w:tcPr>
            <w:tcW w:w="4442" w:type="dxa"/>
            <w:shd w:val="clear" w:color="auto" w:fill="FFFFFF"/>
            <w:vAlign w:val="center"/>
            <w:hideMark/>
          </w:tcPr>
          <w:p w14:paraId="2279DA4A" w14:textId="77777777" w:rsidR="005173BB" w:rsidRDefault="005173BB">
            <w:pPr>
              <w:rPr>
                <w:lang w:val="en-US"/>
              </w:rPr>
            </w:pPr>
            <w:r>
              <w:rPr>
                <w:lang w:val="en-US"/>
              </w:rPr>
              <w:t> </w:t>
            </w:r>
            <w:r>
              <w:rPr>
                <w:lang w:val="en-US"/>
              </w:rPr>
              <w:t>Number of events (%) among low level</w:t>
            </w:r>
          </w:p>
        </w:tc>
        <w:tc>
          <w:tcPr>
            <w:tcW w:w="2541" w:type="dxa"/>
            <w:hideMark/>
          </w:tcPr>
          <w:p w14:paraId="37B818FB" w14:textId="77777777" w:rsidR="005173BB" w:rsidRDefault="005173BB">
            <w:pPr>
              <w:jc w:val="center"/>
              <w:rPr>
                <w:color w:val="FF0000"/>
                <w:lang w:val="en-US"/>
              </w:rPr>
            </w:pPr>
            <w:r>
              <w:t>35/1217 (2.9%) </w:t>
            </w:r>
          </w:p>
        </w:tc>
        <w:tc>
          <w:tcPr>
            <w:tcW w:w="222" w:type="dxa"/>
            <w:noWrap/>
          </w:tcPr>
          <w:p w14:paraId="2CA335B1" w14:textId="77777777" w:rsidR="005173BB" w:rsidRDefault="005173BB">
            <w:pPr>
              <w:jc w:val="center"/>
              <w:rPr>
                <w:color w:val="FF0000"/>
                <w:lang w:val="en-US"/>
              </w:rPr>
            </w:pPr>
          </w:p>
        </w:tc>
        <w:tc>
          <w:tcPr>
            <w:tcW w:w="2458" w:type="dxa"/>
            <w:shd w:val="clear" w:color="auto" w:fill="FFFFFF"/>
            <w:hideMark/>
          </w:tcPr>
          <w:p w14:paraId="0C4F9F58" w14:textId="77777777" w:rsidR="005173BB" w:rsidRDefault="005173BB">
            <w:pPr>
              <w:jc w:val="center"/>
              <w:rPr>
                <w:color w:val="FF0000"/>
                <w:lang w:val="en-US"/>
              </w:rPr>
            </w:pPr>
            <w:r>
              <w:t>30/682 (4.4%) </w:t>
            </w:r>
          </w:p>
        </w:tc>
      </w:tr>
      <w:tr w:rsidR="005173BB" w14:paraId="704BE0EC" w14:textId="77777777" w:rsidTr="005173BB">
        <w:trPr>
          <w:trHeight w:val="300"/>
          <w:jc w:val="center"/>
        </w:trPr>
        <w:tc>
          <w:tcPr>
            <w:tcW w:w="4442" w:type="dxa"/>
            <w:shd w:val="clear" w:color="auto" w:fill="FFFFFF"/>
            <w:vAlign w:val="center"/>
            <w:hideMark/>
          </w:tcPr>
          <w:p w14:paraId="6193B8C3" w14:textId="77777777" w:rsidR="005173BB" w:rsidRDefault="005173BB">
            <w:pPr>
              <w:rPr>
                <w:lang w:val="en-US"/>
              </w:rPr>
            </w:pPr>
            <w:r>
              <w:rPr>
                <w:lang w:val="en-US"/>
              </w:rPr>
              <w:t> </w:t>
            </w:r>
            <w:r>
              <w:rPr>
                <w:lang w:val="en-US"/>
              </w:rPr>
              <w:t>Number of events (%) among high level</w:t>
            </w:r>
          </w:p>
        </w:tc>
        <w:tc>
          <w:tcPr>
            <w:tcW w:w="2541" w:type="dxa"/>
            <w:hideMark/>
          </w:tcPr>
          <w:p w14:paraId="7B23FC6F" w14:textId="77777777" w:rsidR="005173BB" w:rsidRDefault="005173BB">
            <w:pPr>
              <w:jc w:val="center"/>
              <w:rPr>
                <w:color w:val="FF0000"/>
                <w:lang w:val="en-US"/>
              </w:rPr>
            </w:pPr>
            <w:r>
              <w:t>1423/13603 (10.5%) </w:t>
            </w:r>
          </w:p>
        </w:tc>
        <w:tc>
          <w:tcPr>
            <w:tcW w:w="222" w:type="dxa"/>
            <w:noWrap/>
          </w:tcPr>
          <w:p w14:paraId="2E98283C" w14:textId="77777777" w:rsidR="005173BB" w:rsidRDefault="005173BB">
            <w:pPr>
              <w:jc w:val="center"/>
              <w:rPr>
                <w:color w:val="FF0000"/>
                <w:lang w:val="en-US"/>
              </w:rPr>
            </w:pPr>
          </w:p>
        </w:tc>
        <w:tc>
          <w:tcPr>
            <w:tcW w:w="2458" w:type="dxa"/>
            <w:shd w:val="clear" w:color="auto" w:fill="FFFFFF"/>
            <w:hideMark/>
          </w:tcPr>
          <w:p w14:paraId="1E4C4DA8" w14:textId="77777777" w:rsidR="005173BB" w:rsidRDefault="005173BB">
            <w:pPr>
              <w:jc w:val="center"/>
              <w:rPr>
                <w:color w:val="FF0000"/>
                <w:lang w:val="en-US"/>
              </w:rPr>
            </w:pPr>
            <w:r>
              <w:t>1405/13598 (10.3%) </w:t>
            </w:r>
          </w:p>
        </w:tc>
      </w:tr>
      <w:tr w:rsidR="005173BB" w14:paraId="6283FA5F" w14:textId="77777777" w:rsidTr="005173BB">
        <w:trPr>
          <w:trHeight w:val="300"/>
          <w:jc w:val="center"/>
        </w:trPr>
        <w:tc>
          <w:tcPr>
            <w:tcW w:w="4442" w:type="dxa"/>
            <w:shd w:val="clear" w:color="auto" w:fill="FFFFFF"/>
            <w:vAlign w:val="center"/>
            <w:hideMark/>
          </w:tcPr>
          <w:p w14:paraId="2A00B519" w14:textId="77777777" w:rsidR="005173BB" w:rsidRDefault="005173BB">
            <w:pPr>
              <w:rPr>
                <w:lang w:val="en-US"/>
              </w:rPr>
            </w:pPr>
            <w:r>
              <w:rPr>
                <w:lang w:val="en-US"/>
              </w:rPr>
              <w:t> </w:t>
            </w:r>
            <w:r>
              <w:rPr>
                <w:lang w:val="en-US"/>
              </w:rPr>
              <w:t>Adjusted risk ratio (95% CI)</w:t>
            </w:r>
          </w:p>
        </w:tc>
        <w:tc>
          <w:tcPr>
            <w:tcW w:w="2541" w:type="dxa"/>
            <w:vAlign w:val="center"/>
            <w:hideMark/>
          </w:tcPr>
          <w:p w14:paraId="78304131" w14:textId="77777777" w:rsidR="005173BB" w:rsidRDefault="005173BB">
            <w:pPr>
              <w:jc w:val="center"/>
              <w:rPr>
                <w:color w:val="FF0000"/>
                <w:lang w:val="en-US"/>
              </w:rPr>
            </w:pPr>
            <w:r>
              <w:rPr>
                <w:lang w:val="en-US"/>
              </w:rPr>
              <w:t>1.02 (0.52 to 2.80)</w:t>
            </w:r>
          </w:p>
        </w:tc>
        <w:tc>
          <w:tcPr>
            <w:tcW w:w="222" w:type="dxa"/>
            <w:noWrap/>
            <w:vAlign w:val="center"/>
            <w:hideMark/>
          </w:tcPr>
          <w:p w14:paraId="6E41EF15" w14:textId="77777777" w:rsidR="005173BB" w:rsidRDefault="005173BB">
            <w:pPr>
              <w:rPr>
                <w:color w:val="FF0000"/>
                <w:lang w:val="en-US"/>
              </w:rPr>
            </w:pPr>
          </w:p>
        </w:tc>
        <w:tc>
          <w:tcPr>
            <w:tcW w:w="2458" w:type="dxa"/>
            <w:shd w:val="clear" w:color="auto" w:fill="FFFFFF"/>
            <w:vAlign w:val="center"/>
            <w:hideMark/>
          </w:tcPr>
          <w:p w14:paraId="727DE340" w14:textId="77777777" w:rsidR="005173BB" w:rsidRDefault="005173BB">
            <w:pPr>
              <w:jc w:val="center"/>
              <w:rPr>
                <w:lang w:val="en-US"/>
              </w:rPr>
            </w:pPr>
            <w:r>
              <w:rPr>
                <w:lang w:val="en-US"/>
              </w:rPr>
              <w:t>2.64 (1.47 to 5.58)</w:t>
            </w:r>
          </w:p>
        </w:tc>
      </w:tr>
      <w:tr w:rsidR="005173BB" w14:paraId="6B32269E" w14:textId="77777777" w:rsidTr="005173BB">
        <w:trPr>
          <w:trHeight w:val="290"/>
          <w:jc w:val="center"/>
        </w:trPr>
        <w:tc>
          <w:tcPr>
            <w:tcW w:w="4442" w:type="dxa"/>
            <w:tcBorders>
              <w:top w:val="nil"/>
              <w:left w:val="nil"/>
              <w:bottom w:val="dashed" w:sz="4" w:space="0" w:color="auto"/>
              <w:right w:val="nil"/>
            </w:tcBorders>
            <w:shd w:val="clear" w:color="auto" w:fill="FFFFFF"/>
            <w:vAlign w:val="center"/>
            <w:hideMark/>
          </w:tcPr>
          <w:p w14:paraId="7C28EC8B" w14:textId="77777777" w:rsidR="005173BB" w:rsidRDefault="005173BB">
            <w:pPr>
              <w:rPr>
                <w:lang w:val="en-US"/>
              </w:rPr>
            </w:pPr>
            <w:r>
              <w:rPr>
                <w:lang w:val="en-US"/>
              </w:rPr>
              <w:t> </w:t>
            </w:r>
            <w:r>
              <w:rPr>
                <w:lang w:val="en-US"/>
              </w:rPr>
              <w:t>Adjusted risk difference (95% CI)</w:t>
            </w:r>
          </w:p>
        </w:tc>
        <w:tc>
          <w:tcPr>
            <w:tcW w:w="2541" w:type="dxa"/>
            <w:tcBorders>
              <w:top w:val="nil"/>
              <w:left w:val="nil"/>
              <w:bottom w:val="dashed" w:sz="4" w:space="0" w:color="auto"/>
              <w:right w:val="nil"/>
            </w:tcBorders>
            <w:vAlign w:val="center"/>
            <w:hideMark/>
          </w:tcPr>
          <w:p w14:paraId="49078F20" w14:textId="77777777" w:rsidR="005173BB" w:rsidRDefault="005173BB">
            <w:pPr>
              <w:jc w:val="center"/>
              <w:rPr>
                <w:color w:val="FF0000"/>
                <w:lang w:val="en-US"/>
              </w:rPr>
            </w:pPr>
            <w:r>
              <w:rPr>
                <w:lang w:val="en-US"/>
              </w:rPr>
              <w:t>+0.69% (-2.72 to 3.85)</w:t>
            </w:r>
          </w:p>
        </w:tc>
        <w:tc>
          <w:tcPr>
            <w:tcW w:w="222" w:type="dxa"/>
            <w:tcBorders>
              <w:top w:val="nil"/>
              <w:left w:val="nil"/>
              <w:bottom w:val="dashed" w:sz="4" w:space="0" w:color="auto"/>
              <w:right w:val="nil"/>
            </w:tcBorders>
            <w:noWrap/>
            <w:vAlign w:val="center"/>
            <w:hideMark/>
          </w:tcPr>
          <w:p w14:paraId="420A9791" w14:textId="77777777" w:rsidR="005173BB" w:rsidRDefault="005173BB">
            <w:pPr>
              <w:rPr>
                <w:color w:val="FF0000"/>
                <w:lang w:val="en-US"/>
              </w:rPr>
            </w:pPr>
          </w:p>
        </w:tc>
        <w:tc>
          <w:tcPr>
            <w:tcW w:w="2458" w:type="dxa"/>
            <w:tcBorders>
              <w:top w:val="nil"/>
              <w:left w:val="nil"/>
              <w:bottom w:val="dashed" w:sz="4" w:space="0" w:color="auto"/>
              <w:right w:val="nil"/>
            </w:tcBorders>
            <w:shd w:val="clear" w:color="auto" w:fill="FFFFFF"/>
            <w:vAlign w:val="center"/>
            <w:hideMark/>
          </w:tcPr>
          <w:p w14:paraId="2B656075" w14:textId="77777777" w:rsidR="005173BB" w:rsidRDefault="005173BB">
            <w:pPr>
              <w:jc w:val="center"/>
              <w:rPr>
                <w:lang w:val="en-US"/>
              </w:rPr>
            </w:pPr>
            <w:r>
              <w:rPr>
                <w:lang w:val="en-US"/>
              </w:rPr>
              <w:t>+0.22% (1.13 to 5.32)</w:t>
            </w:r>
          </w:p>
        </w:tc>
      </w:tr>
      <w:tr w:rsidR="005173BB" w14:paraId="3DE896DA" w14:textId="77777777" w:rsidTr="005173BB">
        <w:trPr>
          <w:trHeight w:val="300"/>
          <w:jc w:val="center"/>
        </w:trPr>
        <w:tc>
          <w:tcPr>
            <w:tcW w:w="4442" w:type="dxa"/>
            <w:shd w:val="clear" w:color="auto" w:fill="FFFFFF"/>
            <w:vAlign w:val="center"/>
            <w:hideMark/>
          </w:tcPr>
          <w:p w14:paraId="7E006B7D" w14:textId="77777777" w:rsidR="005173BB" w:rsidRDefault="005173BB">
            <w:pPr>
              <w:rPr>
                <w:b/>
                <w:bCs/>
                <w:lang w:val="en-US"/>
              </w:rPr>
            </w:pPr>
            <w:r>
              <w:rPr>
                <w:b/>
                <w:bCs/>
                <w:lang w:val="en-US"/>
              </w:rPr>
              <w:t>Cancer mortality</w:t>
            </w:r>
          </w:p>
        </w:tc>
        <w:tc>
          <w:tcPr>
            <w:tcW w:w="2541" w:type="dxa"/>
            <w:vAlign w:val="center"/>
          </w:tcPr>
          <w:p w14:paraId="7128906B" w14:textId="77777777" w:rsidR="005173BB" w:rsidRDefault="005173BB">
            <w:pPr>
              <w:jc w:val="center"/>
              <w:rPr>
                <w:color w:val="FF0000"/>
                <w:lang w:val="en-US"/>
              </w:rPr>
            </w:pPr>
          </w:p>
        </w:tc>
        <w:tc>
          <w:tcPr>
            <w:tcW w:w="222" w:type="dxa"/>
            <w:noWrap/>
            <w:vAlign w:val="center"/>
            <w:hideMark/>
          </w:tcPr>
          <w:p w14:paraId="3C395C5F" w14:textId="77777777" w:rsidR="005173BB" w:rsidRDefault="005173BB">
            <w:pPr>
              <w:rPr>
                <w:color w:val="FF0000"/>
                <w:lang w:val="en-US"/>
              </w:rPr>
            </w:pPr>
          </w:p>
        </w:tc>
        <w:tc>
          <w:tcPr>
            <w:tcW w:w="2458" w:type="dxa"/>
            <w:shd w:val="clear" w:color="auto" w:fill="FFFFFF"/>
            <w:vAlign w:val="center"/>
          </w:tcPr>
          <w:p w14:paraId="7F9979F5" w14:textId="77777777" w:rsidR="005173BB" w:rsidRDefault="005173BB">
            <w:pPr>
              <w:jc w:val="center"/>
              <w:rPr>
                <w:color w:val="FF0000"/>
                <w:lang w:val="en-US"/>
              </w:rPr>
            </w:pPr>
          </w:p>
        </w:tc>
      </w:tr>
      <w:tr w:rsidR="005173BB" w14:paraId="00AC606C" w14:textId="77777777" w:rsidTr="005173BB">
        <w:trPr>
          <w:trHeight w:val="300"/>
          <w:jc w:val="center"/>
        </w:trPr>
        <w:tc>
          <w:tcPr>
            <w:tcW w:w="4442" w:type="dxa"/>
            <w:shd w:val="clear" w:color="auto" w:fill="FFFFFF"/>
            <w:vAlign w:val="center"/>
            <w:hideMark/>
          </w:tcPr>
          <w:p w14:paraId="1EF003F0" w14:textId="77777777" w:rsidR="005173BB" w:rsidRDefault="005173BB">
            <w:pPr>
              <w:rPr>
                <w:lang w:val="en-US"/>
              </w:rPr>
            </w:pPr>
            <w:r>
              <w:rPr>
                <w:lang w:val="en-US"/>
              </w:rPr>
              <w:t> </w:t>
            </w:r>
            <w:r>
              <w:rPr>
                <w:lang w:val="en-US"/>
              </w:rPr>
              <w:t>Number of events (%) among low level</w:t>
            </w:r>
          </w:p>
        </w:tc>
        <w:tc>
          <w:tcPr>
            <w:tcW w:w="2541" w:type="dxa"/>
            <w:hideMark/>
          </w:tcPr>
          <w:p w14:paraId="78D3C063" w14:textId="77777777" w:rsidR="005173BB" w:rsidRDefault="005173BB">
            <w:pPr>
              <w:jc w:val="center"/>
              <w:rPr>
                <w:color w:val="FF0000"/>
                <w:lang w:val="en-US"/>
              </w:rPr>
            </w:pPr>
            <w:r>
              <w:t>49/1217 (4.0%) </w:t>
            </w:r>
          </w:p>
        </w:tc>
        <w:tc>
          <w:tcPr>
            <w:tcW w:w="222" w:type="dxa"/>
            <w:noWrap/>
          </w:tcPr>
          <w:p w14:paraId="6E888AA0" w14:textId="77777777" w:rsidR="005173BB" w:rsidRDefault="005173BB">
            <w:pPr>
              <w:jc w:val="center"/>
              <w:rPr>
                <w:color w:val="FF0000"/>
                <w:lang w:val="en-US"/>
              </w:rPr>
            </w:pPr>
          </w:p>
        </w:tc>
        <w:tc>
          <w:tcPr>
            <w:tcW w:w="2458" w:type="dxa"/>
            <w:shd w:val="clear" w:color="auto" w:fill="FFFFFF"/>
            <w:hideMark/>
          </w:tcPr>
          <w:p w14:paraId="073B154A" w14:textId="77777777" w:rsidR="005173BB" w:rsidRDefault="005173BB">
            <w:pPr>
              <w:jc w:val="center"/>
              <w:rPr>
                <w:color w:val="FF0000"/>
                <w:lang w:val="en-US"/>
              </w:rPr>
            </w:pPr>
            <w:r>
              <w:t>22/682 (3.2%) </w:t>
            </w:r>
          </w:p>
        </w:tc>
      </w:tr>
      <w:tr w:rsidR="005173BB" w14:paraId="6AAADDE3" w14:textId="77777777" w:rsidTr="005173BB">
        <w:trPr>
          <w:trHeight w:val="300"/>
          <w:jc w:val="center"/>
        </w:trPr>
        <w:tc>
          <w:tcPr>
            <w:tcW w:w="4442" w:type="dxa"/>
            <w:shd w:val="clear" w:color="auto" w:fill="FFFFFF"/>
            <w:vAlign w:val="center"/>
            <w:hideMark/>
          </w:tcPr>
          <w:p w14:paraId="6FFBCCF9" w14:textId="77777777" w:rsidR="005173BB" w:rsidRDefault="005173BB">
            <w:pPr>
              <w:rPr>
                <w:lang w:val="en-US"/>
              </w:rPr>
            </w:pPr>
            <w:r>
              <w:rPr>
                <w:lang w:val="en-US"/>
              </w:rPr>
              <w:t> </w:t>
            </w:r>
            <w:r>
              <w:rPr>
                <w:lang w:val="en-US"/>
              </w:rPr>
              <w:t>Number of events (%) among high level</w:t>
            </w:r>
          </w:p>
        </w:tc>
        <w:tc>
          <w:tcPr>
            <w:tcW w:w="2541" w:type="dxa"/>
            <w:hideMark/>
          </w:tcPr>
          <w:p w14:paraId="29F36013" w14:textId="77777777" w:rsidR="005173BB" w:rsidRDefault="005173BB">
            <w:pPr>
              <w:jc w:val="center"/>
              <w:rPr>
                <w:color w:val="FF0000"/>
                <w:lang w:val="en-US"/>
              </w:rPr>
            </w:pPr>
            <w:r>
              <w:t>1027/13603 (7.6%) </w:t>
            </w:r>
          </w:p>
        </w:tc>
        <w:tc>
          <w:tcPr>
            <w:tcW w:w="222" w:type="dxa"/>
            <w:noWrap/>
          </w:tcPr>
          <w:p w14:paraId="78B98267" w14:textId="77777777" w:rsidR="005173BB" w:rsidRDefault="005173BB">
            <w:pPr>
              <w:jc w:val="center"/>
              <w:rPr>
                <w:color w:val="FF0000"/>
                <w:lang w:val="en-US"/>
              </w:rPr>
            </w:pPr>
          </w:p>
        </w:tc>
        <w:tc>
          <w:tcPr>
            <w:tcW w:w="2458" w:type="dxa"/>
            <w:shd w:val="clear" w:color="auto" w:fill="FFFFFF"/>
            <w:hideMark/>
          </w:tcPr>
          <w:p w14:paraId="7FCCB0E2" w14:textId="77777777" w:rsidR="005173BB" w:rsidRDefault="005173BB">
            <w:pPr>
              <w:jc w:val="center"/>
              <w:rPr>
                <w:color w:val="FF0000"/>
                <w:lang w:val="en-US"/>
              </w:rPr>
            </w:pPr>
            <w:r>
              <w:t>1007/13598 (7.4%) </w:t>
            </w:r>
          </w:p>
        </w:tc>
      </w:tr>
      <w:tr w:rsidR="005173BB" w14:paraId="6DB96F1F" w14:textId="77777777" w:rsidTr="005173BB">
        <w:trPr>
          <w:trHeight w:val="300"/>
          <w:jc w:val="center"/>
        </w:trPr>
        <w:tc>
          <w:tcPr>
            <w:tcW w:w="4442" w:type="dxa"/>
            <w:shd w:val="clear" w:color="auto" w:fill="FFFFFF"/>
            <w:vAlign w:val="center"/>
            <w:hideMark/>
          </w:tcPr>
          <w:p w14:paraId="380F3D2F" w14:textId="77777777" w:rsidR="005173BB" w:rsidRDefault="005173BB">
            <w:pPr>
              <w:rPr>
                <w:lang w:val="en-US"/>
              </w:rPr>
            </w:pPr>
            <w:r>
              <w:rPr>
                <w:lang w:val="en-US"/>
              </w:rPr>
              <w:t> </w:t>
            </w:r>
            <w:r>
              <w:rPr>
                <w:lang w:val="en-US"/>
              </w:rPr>
              <w:t>Adjusted risk ratio (95% CI)</w:t>
            </w:r>
          </w:p>
        </w:tc>
        <w:tc>
          <w:tcPr>
            <w:tcW w:w="2541" w:type="dxa"/>
            <w:vAlign w:val="center"/>
            <w:hideMark/>
          </w:tcPr>
          <w:p w14:paraId="3BAB073F" w14:textId="77777777" w:rsidR="005173BB" w:rsidRDefault="005173BB">
            <w:pPr>
              <w:jc w:val="center"/>
              <w:rPr>
                <w:lang w:val="en-US"/>
              </w:rPr>
            </w:pPr>
            <w:r>
              <w:rPr>
                <w:lang w:val="en-US"/>
              </w:rPr>
              <w:t>2.41 (0.70 to 3.69)</w:t>
            </w:r>
          </w:p>
        </w:tc>
        <w:tc>
          <w:tcPr>
            <w:tcW w:w="222" w:type="dxa"/>
            <w:noWrap/>
            <w:vAlign w:val="center"/>
            <w:hideMark/>
          </w:tcPr>
          <w:p w14:paraId="2B41C731" w14:textId="77777777" w:rsidR="005173BB" w:rsidRDefault="005173BB">
            <w:pPr>
              <w:rPr>
                <w:lang w:val="en-US"/>
              </w:rPr>
            </w:pPr>
          </w:p>
        </w:tc>
        <w:tc>
          <w:tcPr>
            <w:tcW w:w="2458" w:type="dxa"/>
            <w:shd w:val="clear" w:color="auto" w:fill="FFFFFF"/>
            <w:vAlign w:val="center"/>
            <w:hideMark/>
          </w:tcPr>
          <w:p w14:paraId="15836B56" w14:textId="77777777" w:rsidR="005173BB" w:rsidRDefault="005173BB">
            <w:pPr>
              <w:jc w:val="center"/>
              <w:rPr>
                <w:lang w:val="en-US"/>
              </w:rPr>
            </w:pPr>
            <w:r>
              <w:rPr>
                <w:lang w:val="en-US"/>
              </w:rPr>
              <w:t>3.30 (1.03 to 7.00)</w:t>
            </w:r>
          </w:p>
        </w:tc>
      </w:tr>
      <w:tr w:rsidR="005173BB" w14:paraId="714BFABF" w14:textId="77777777" w:rsidTr="005173BB">
        <w:trPr>
          <w:trHeight w:val="290"/>
          <w:jc w:val="center"/>
        </w:trPr>
        <w:tc>
          <w:tcPr>
            <w:tcW w:w="4442" w:type="dxa"/>
            <w:tcBorders>
              <w:top w:val="nil"/>
              <w:left w:val="nil"/>
              <w:bottom w:val="single" w:sz="4" w:space="0" w:color="auto"/>
              <w:right w:val="nil"/>
            </w:tcBorders>
            <w:shd w:val="clear" w:color="auto" w:fill="FFFFFF"/>
            <w:vAlign w:val="center"/>
            <w:hideMark/>
          </w:tcPr>
          <w:p w14:paraId="7DE8F0E5" w14:textId="77777777" w:rsidR="005173BB" w:rsidRDefault="005173BB">
            <w:pPr>
              <w:rPr>
                <w:lang w:val="en-US"/>
              </w:rPr>
            </w:pPr>
            <w:r>
              <w:rPr>
                <w:lang w:val="en-US"/>
              </w:rPr>
              <w:t xml:space="preserve">    Adjusted risk difference (95% CI)</w:t>
            </w:r>
          </w:p>
        </w:tc>
        <w:tc>
          <w:tcPr>
            <w:tcW w:w="2541" w:type="dxa"/>
            <w:tcBorders>
              <w:top w:val="nil"/>
              <w:left w:val="nil"/>
              <w:bottom w:val="single" w:sz="4" w:space="0" w:color="auto"/>
              <w:right w:val="nil"/>
            </w:tcBorders>
            <w:vAlign w:val="center"/>
            <w:hideMark/>
          </w:tcPr>
          <w:p w14:paraId="6C6E6C1D" w14:textId="77777777" w:rsidR="005173BB" w:rsidRDefault="005173BB">
            <w:pPr>
              <w:jc w:val="center"/>
              <w:rPr>
                <w:lang w:val="en-US"/>
              </w:rPr>
            </w:pPr>
            <w:r>
              <w:rPr>
                <w:lang w:val="en-US"/>
              </w:rPr>
              <w:t>+0.49% (-1.66 to 2.42)</w:t>
            </w:r>
          </w:p>
        </w:tc>
        <w:tc>
          <w:tcPr>
            <w:tcW w:w="222" w:type="dxa"/>
            <w:tcBorders>
              <w:top w:val="nil"/>
              <w:left w:val="nil"/>
              <w:bottom w:val="single" w:sz="4" w:space="0" w:color="auto"/>
              <w:right w:val="nil"/>
            </w:tcBorders>
            <w:noWrap/>
            <w:vAlign w:val="center"/>
            <w:hideMark/>
          </w:tcPr>
          <w:p w14:paraId="6336762A" w14:textId="77777777" w:rsidR="005173BB" w:rsidRDefault="005173BB">
            <w:pPr>
              <w:rPr>
                <w:lang w:val="en-US"/>
              </w:rPr>
            </w:pPr>
          </w:p>
        </w:tc>
        <w:tc>
          <w:tcPr>
            <w:tcW w:w="2458" w:type="dxa"/>
            <w:tcBorders>
              <w:top w:val="nil"/>
              <w:left w:val="nil"/>
              <w:bottom w:val="single" w:sz="4" w:space="0" w:color="auto"/>
              <w:right w:val="nil"/>
            </w:tcBorders>
            <w:shd w:val="clear" w:color="auto" w:fill="FFFFFF"/>
            <w:vAlign w:val="center"/>
            <w:hideMark/>
          </w:tcPr>
          <w:p w14:paraId="3B601D2C" w14:textId="77777777" w:rsidR="005173BB" w:rsidRDefault="005173BB">
            <w:pPr>
              <w:jc w:val="center"/>
              <w:rPr>
                <w:lang w:val="en-US"/>
              </w:rPr>
            </w:pPr>
            <w:r>
              <w:rPr>
                <w:lang w:val="en-US"/>
              </w:rPr>
              <w:t>+1.11% (0.05 to 3.23)</w:t>
            </w:r>
          </w:p>
        </w:tc>
      </w:tr>
    </w:tbl>
    <w:p w14:paraId="0ADF6275" w14:textId="77777777" w:rsidR="005173BB" w:rsidRDefault="005173BB" w:rsidP="005173BB">
      <w:pPr>
        <w:rPr>
          <w:lang w:val="en-US"/>
        </w:rPr>
      </w:pPr>
      <w:r>
        <w:rPr>
          <w:vertAlign w:val="superscript"/>
          <w:lang w:val="en-US"/>
        </w:rPr>
        <w:t>a</w:t>
      </w:r>
      <w:r>
        <w:rPr>
          <w:lang w:val="en-US"/>
        </w:rPr>
        <w:t>200 iterations were performed for bootstrapping the estimates 95% confidence interval</w:t>
      </w:r>
    </w:p>
    <w:p w14:paraId="36D0D9BA" w14:textId="77777777" w:rsidR="005173BB" w:rsidRDefault="005173BB" w:rsidP="005173BB">
      <w:pPr>
        <w:ind w:firstLine="720"/>
        <w:jc w:val="both"/>
        <w:rPr>
          <w:lang w:val="en-US"/>
        </w:rPr>
      </w:pPr>
      <w:r>
        <w:rPr>
          <w:lang w:val="en-US"/>
        </w:rPr>
        <w:t>low level: 5</w:t>
      </w:r>
      <w:r>
        <w:rPr>
          <w:vertAlign w:val="superscript"/>
          <w:lang w:val="en-US"/>
        </w:rPr>
        <w:t>th</w:t>
      </w:r>
      <w:r>
        <w:rPr>
          <w:lang w:val="en-US"/>
        </w:rPr>
        <w:t xml:space="preserve"> percentiles of blood lead (0.70 </w:t>
      </w:r>
      <w:r>
        <w:t>μ</w:t>
      </w:r>
      <w:r>
        <w:rPr>
          <w:lang w:val="en-US"/>
        </w:rPr>
        <w:t xml:space="preserve">g/dL or 0.03 </w:t>
      </w:r>
      <w:proofErr w:type="spellStart"/>
      <w:r>
        <w:rPr>
          <w:lang w:val="en-US"/>
        </w:rPr>
        <w:t>umol</w:t>
      </w:r>
      <w:proofErr w:type="spellEnd"/>
      <w:r>
        <w:rPr>
          <w:lang w:val="en-US"/>
        </w:rPr>
        <w:t xml:space="preserve">/L) and urinary cadmium (0.04 </w:t>
      </w:r>
      <w:r>
        <w:t>μ</w:t>
      </w:r>
      <w:r>
        <w:rPr>
          <w:lang w:val="en-US"/>
        </w:rPr>
        <w:t>g/g) distributions</w:t>
      </w:r>
    </w:p>
    <w:p w14:paraId="053D8965" w14:textId="77777777" w:rsidR="005173BB" w:rsidRDefault="005173BB" w:rsidP="005173BB">
      <w:pPr>
        <w:ind w:firstLine="720"/>
        <w:jc w:val="both"/>
        <w:rPr>
          <w:lang w:val="en-US"/>
        </w:rPr>
      </w:pPr>
      <w:r>
        <w:rPr>
          <w:lang w:val="en-US"/>
        </w:rPr>
        <w:t>high level: 95</w:t>
      </w:r>
      <w:r>
        <w:rPr>
          <w:vertAlign w:val="superscript"/>
          <w:lang w:val="en-US"/>
        </w:rPr>
        <w:t>th</w:t>
      </w:r>
      <w:r>
        <w:rPr>
          <w:lang w:val="en-US"/>
        </w:rPr>
        <w:t xml:space="preserve"> percentiles of blood lead (9.70 </w:t>
      </w:r>
      <w:r>
        <w:t>μ</w:t>
      </w:r>
      <w:r>
        <w:rPr>
          <w:lang w:val="en-US"/>
        </w:rPr>
        <w:t xml:space="preserve">g/dL or 0.47 </w:t>
      </w:r>
      <w:proofErr w:type="spellStart"/>
      <w:r>
        <w:rPr>
          <w:lang w:val="en-US"/>
        </w:rPr>
        <w:t>umol</w:t>
      </w:r>
      <w:proofErr w:type="spellEnd"/>
      <w:r>
        <w:rPr>
          <w:lang w:val="en-US"/>
        </w:rPr>
        <w:t xml:space="preserve">/L) and urinary cadmium (1.63 </w:t>
      </w:r>
      <w:r>
        <w:t>μ</w:t>
      </w:r>
      <w:r>
        <w:rPr>
          <w:lang w:val="en-US"/>
        </w:rPr>
        <w:t>g/g) distributions</w:t>
      </w:r>
    </w:p>
    <w:p w14:paraId="24CC8C7C" w14:textId="77777777" w:rsidR="005173BB" w:rsidRDefault="005173BB" w:rsidP="005173BB">
      <w:pPr>
        <w:autoSpaceDE/>
        <w:autoSpaceDN/>
        <w:rPr>
          <w:lang w:val="en-US"/>
        </w:rPr>
        <w:sectPr w:rsidR="005173BB">
          <w:pgSz w:w="12240" w:h="15840"/>
          <w:pgMar w:top="1440" w:right="1440" w:bottom="1440" w:left="1440" w:header="720" w:footer="720" w:gutter="0"/>
          <w:cols w:space="720"/>
        </w:sectPr>
      </w:pPr>
    </w:p>
    <w:p w14:paraId="56362BA4" w14:textId="77777777" w:rsidR="005173BB" w:rsidRDefault="005173BB" w:rsidP="005173BB">
      <w:pPr>
        <w:ind w:firstLine="720"/>
        <w:rPr>
          <w:lang w:val="en-US"/>
        </w:rPr>
      </w:pPr>
    </w:p>
    <w:p w14:paraId="77350E10" w14:textId="77777777" w:rsidR="005173BB" w:rsidRDefault="005173BB" w:rsidP="005173BB">
      <w:pPr>
        <w:rPr>
          <w:lang w:val="en-US"/>
        </w:rPr>
      </w:pPr>
    </w:p>
    <w:p w14:paraId="496973B3" w14:textId="77777777" w:rsidR="005173BB" w:rsidRDefault="005173BB" w:rsidP="005173BB">
      <w:pPr>
        <w:rPr>
          <w:sz w:val="24"/>
          <w:szCs w:val="24"/>
          <w:lang w:val="en-US"/>
        </w:rPr>
      </w:pPr>
      <w:r>
        <w:rPr>
          <w:sz w:val="24"/>
          <w:szCs w:val="24"/>
          <w:lang w:val="en-US"/>
        </w:rPr>
        <w:t xml:space="preserve">Table S4: Mid-follow-up (13 years) adjusted all-cause and specific-cause of mortality risk ratio and risk difference of metals percentile 95 and 5 values using parametric g-formula with pooled logistic regression </w:t>
      </w:r>
      <w:proofErr w:type="spellStart"/>
      <w:r>
        <w:rPr>
          <w:sz w:val="24"/>
          <w:szCs w:val="24"/>
          <w:lang w:val="en-US"/>
        </w:rPr>
        <w:t>models</w:t>
      </w:r>
      <w:r>
        <w:rPr>
          <w:sz w:val="24"/>
          <w:szCs w:val="24"/>
          <w:vertAlign w:val="superscript"/>
          <w:lang w:val="en-US"/>
        </w:rPr>
        <w:t>a</w:t>
      </w:r>
      <w:proofErr w:type="spellEnd"/>
      <w:r>
        <w:rPr>
          <w:sz w:val="24"/>
          <w:szCs w:val="24"/>
          <w:lang w:val="en-US"/>
        </w:rPr>
        <w:t xml:space="preserve"> </w:t>
      </w:r>
    </w:p>
    <w:p w14:paraId="6D88657A" w14:textId="77777777" w:rsidR="005173BB" w:rsidRDefault="005173BB" w:rsidP="005173BB">
      <w:pPr>
        <w:rPr>
          <w:sz w:val="24"/>
          <w:szCs w:val="24"/>
          <w:lang w:val="en-US"/>
        </w:rPr>
      </w:pPr>
    </w:p>
    <w:tbl>
      <w:tblPr>
        <w:tblW w:w="9663" w:type="dxa"/>
        <w:jc w:val="center"/>
        <w:tblLook w:val="04A0" w:firstRow="1" w:lastRow="0" w:firstColumn="1" w:lastColumn="0" w:noHBand="0" w:noVBand="1"/>
      </w:tblPr>
      <w:tblGrid>
        <w:gridCol w:w="4442"/>
        <w:gridCol w:w="2541"/>
        <w:gridCol w:w="222"/>
        <w:gridCol w:w="2458"/>
      </w:tblGrid>
      <w:tr w:rsidR="005173BB" w14:paraId="5290B3E6" w14:textId="77777777" w:rsidTr="005173BB">
        <w:trPr>
          <w:trHeight w:val="290"/>
          <w:jc w:val="center"/>
        </w:trPr>
        <w:tc>
          <w:tcPr>
            <w:tcW w:w="4442" w:type="dxa"/>
            <w:tcBorders>
              <w:top w:val="single" w:sz="4" w:space="0" w:color="auto"/>
              <w:left w:val="nil"/>
              <w:bottom w:val="single" w:sz="4" w:space="0" w:color="auto"/>
              <w:right w:val="nil"/>
            </w:tcBorders>
            <w:vAlign w:val="center"/>
            <w:hideMark/>
          </w:tcPr>
          <w:p w14:paraId="24A9F627" w14:textId="77777777" w:rsidR="005173BB" w:rsidRDefault="005173BB">
            <w:pPr>
              <w:rPr>
                <w:b/>
                <w:bCs/>
                <w:sz w:val="24"/>
                <w:szCs w:val="24"/>
                <w:lang w:val="en-US"/>
              </w:rPr>
            </w:pPr>
            <w:r>
              <w:rPr>
                <w:b/>
                <w:bCs/>
                <w:sz w:val="24"/>
                <w:szCs w:val="24"/>
                <w:lang w:val="en-US"/>
              </w:rPr>
              <w:t>Outcomes</w:t>
            </w:r>
          </w:p>
        </w:tc>
        <w:tc>
          <w:tcPr>
            <w:tcW w:w="2541" w:type="dxa"/>
            <w:tcBorders>
              <w:top w:val="single" w:sz="4" w:space="0" w:color="auto"/>
              <w:left w:val="nil"/>
              <w:bottom w:val="single" w:sz="4" w:space="0" w:color="auto"/>
              <w:right w:val="nil"/>
            </w:tcBorders>
            <w:hideMark/>
          </w:tcPr>
          <w:p w14:paraId="27550153" w14:textId="77777777" w:rsidR="005173BB" w:rsidRDefault="005173BB">
            <w:pPr>
              <w:jc w:val="center"/>
              <w:rPr>
                <w:sz w:val="24"/>
                <w:szCs w:val="24"/>
                <w:lang w:val="en-US"/>
              </w:rPr>
            </w:pPr>
            <w:r>
              <w:rPr>
                <w:b/>
                <w:bCs/>
                <w:sz w:val="24"/>
                <w:szCs w:val="24"/>
                <w:lang w:val="en-US"/>
              </w:rPr>
              <w:t xml:space="preserve">Blood </w:t>
            </w:r>
            <w:proofErr w:type="gramStart"/>
            <w:r>
              <w:rPr>
                <w:b/>
                <w:bCs/>
                <w:sz w:val="24"/>
                <w:szCs w:val="24"/>
                <w:lang w:val="en-US"/>
              </w:rPr>
              <w:t>lead</w:t>
            </w:r>
            <w:proofErr w:type="gramEnd"/>
          </w:p>
        </w:tc>
        <w:tc>
          <w:tcPr>
            <w:tcW w:w="222" w:type="dxa"/>
            <w:tcBorders>
              <w:top w:val="single" w:sz="4" w:space="0" w:color="auto"/>
              <w:left w:val="nil"/>
              <w:bottom w:val="nil"/>
              <w:right w:val="nil"/>
            </w:tcBorders>
            <w:noWrap/>
            <w:vAlign w:val="bottom"/>
          </w:tcPr>
          <w:p w14:paraId="032087C0" w14:textId="77777777" w:rsidR="005173BB" w:rsidRDefault="005173BB">
            <w:pPr>
              <w:jc w:val="center"/>
              <w:rPr>
                <w:sz w:val="24"/>
                <w:szCs w:val="24"/>
                <w:lang w:val="en-US"/>
              </w:rPr>
            </w:pPr>
          </w:p>
        </w:tc>
        <w:tc>
          <w:tcPr>
            <w:tcW w:w="2458" w:type="dxa"/>
            <w:tcBorders>
              <w:top w:val="single" w:sz="4" w:space="0" w:color="auto"/>
              <w:left w:val="nil"/>
              <w:bottom w:val="single" w:sz="4" w:space="0" w:color="auto"/>
              <w:right w:val="nil"/>
            </w:tcBorders>
            <w:hideMark/>
          </w:tcPr>
          <w:p w14:paraId="120485E1" w14:textId="77777777" w:rsidR="005173BB" w:rsidRDefault="005173BB">
            <w:pPr>
              <w:jc w:val="center"/>
              <w:rPr>
                <w:b/>
                <w:bCs/>
                <w:sz w:val="24"/>
                <w:szCs w:val="24"/>
                <w:lang w:val="en-US"/>
              </w:rPr>
            </w:pPr>
            <w:r>
              <w:rPr>
                <w:b/>
                <w:bCs/>
                <w:sz w:val="24"/>
                <w:szCs w:val="24"/>
                <w:lang w:val="en-US"/>
              </w:rPr>
              <w:t>Urinary cadmium</w:t>
            </w:r>
          </w:p>
        </w:tc>
      </w:tr>
      <w:tr w:rsidR="005173BB" w14:paraId="0A7FDB98" w14:textId="77777777" w:rsidTr="005173BB">
        <w:trPr>
          <w:trHeight w:val="300"/>
          <w:jc w:val="center"/>
        </w:trPr>
        <w:tc>
          <w:tcPr>
            <w:tcW w:w="4442" w:type="dxa"/>
            <w:shd w:val="clear" w:color="auto" w:fill="FFFFFF"/>
            <w:vAlign w:val="center"/>
            <w:hideMark/>
          </w:tcPr>
          <w:p w14:paraId="14526103" w14:textId="77777777" w:rsidR="005173BB" w:rsidRDefault="005173BB">
            <w:pPr>
              <w:rPr>
                <w:b/>
                <w:bCs/>
                <w:sz w:val="24"/>
                <w:szCs w:val="24"/>
                <w:lang w:val="en-US"/>
              </w:rPr>
            </w:pPr>
            <w:r>
              <w:rPr>
                <w:b/>
                <w:bCs/>
                <w:sz w:val="24"/>
                <w:szCs w:val="24"/>
                <w:lang w:val="en-US"/>
              </w:rPr>
              <w:t>All-cause mortality</w:t>
            </w:r>
          </w:p>
        </w:tc>
        <w:tc>
          <w:tcPr>
            <w:tcW w:w="2541" w:type="dxa"/>
            <w:tcBorders>
              <w:top w:val="single" w:sz="4" w:space="0" w:color="auto"/>
              <w:left w:val="nil"/>
              <w:bottom w:val="nil"/>
              <w:right w:val="nil"/>
            </w:tcBorders>
            <w:vAlign w:val="center"/>
          </w:tcPr>
          <w:p w14:paraId="37607D7E" w14:textId="77777777" w:rsidR="005173BB" w:rsidRDefault="005173BB">
            <w:pPr>
              <w:jc w:val="center"/>
              <w:rPr>
                <w:sz w:val="24"/>
                <w:szCs w:val="24"/>
                <w:lang w:val="en-US"/>
              </w:rPr>
            </w:pPr>
          </w:p>
        </w:tc>
        <w:tc>
          <w:tcPr>
            <w:tcW w:w="222" w:type="dxa"/>
            <w:noWrap/>
            <w:vAlign w:val="center"/>
            <w:hideMark/>
          </w:tcPr>
          <w:p w14:paraId="0BBB169B" w14:textId="77777777" w:rsidR="005173BB" w:rsidRDefault="005173BB">
            <w:pPr>
              <w:rPr>
                <w:sz w:val="24"/>
                <w:szCs w:val="24"/>
                <w:lang w:val="en-US"/>
              </w:rPr>
            </w:pPr>
          </w:p>
        </w:tc>
        <w:tc>
          <w:tcPr>
            <w:tcW w:w="2458" w:type="dxa"/>
            <w:shd w:val="clear" w:color="auto" w:fill="FFFFFF"/>
          </w:tcPr>
          <w:p w14:paraId="235EE4E5" w14:textId="77777777" w:rsidR="005173BB" w:rsidRDefault="005173BB">
            <w:pPr>
              <w:jc w:val="center"/>
              <w:rPr>
                <w:sz w:val="24"/>
                <w:szCs w:val="24"/>
                <w:lang w:val="en-US"/>
              </w:rPr>
            </w:pPr>
          </w:p>
        </w:tc>
      </w:tr>
      <w:tr w:rsidR="005173BB" w14:paraId="2FA350AA" w14:textId="77777777" w:rsidTr="005173BB">
        <w:trPr>
          <w:trHeight w:val="300"/>
          <w:jc w:val="center"/>
        </w:trPr>
        <w:tc>
          <w:tcPr>
            <w:tcW w:w="4442" w:type="dxa"/>
            <w:shd w:val="clear" w:color="auto" w:fill="FFFFFF"/>
            <w:vAlign w:val="center"/>
            <w:hideMark/>
          </w:tcPr>
          <w:p w14:paraId="661804BF" w14:textId="77777777" w:rsidR="005173BB" w:rsidRDefault="005173BB">
            <w:pPr>
              <w:rPr>
                <w:sz w:val="24"/>
                <w:szCs w:val="24"/>
                <w:lang w:val="en-US"/>
              </w:rPr>
            </w:pPr>
            <w:r>
              <w:rPr>
                <w:sz w:val="24"/>
                <w:szCs w:val="24"/>
                <w:lang w:val="en-US"/>
              </w:rPr>
              <w:t> </w:t>
            </w:r>
            <w:r>
              <w:rPr>
                <w:sz w:val="24"/>
                <w:szCs w:val="24"/>
                <w:lang w:val="en-US"/>
              </w:rPr>
              <w:t>Adjusted risk ratio (95% CI)</w:t>
            </w:r>
          </w:p>
        </w:tc>
        <w:tc>
          <w:tcPr>
            <w:tcW w:w="2541" w:type="dxa"/>
            <w:vAlign w:val="center"/>
            <w:hideMark/>
          </w:tcPr>
          <w:p w14:paraId="427B0BDF" w14:textId="77777777" w:rsidR="005173BB" w:rsidRDefault="005173BB">
            <w:pPr>
              <w:jc w:val="center"/>
              <w:rPr>
                <w:color w:val="FF0000"/>
                <w:sz w:val="24"/>
                <w:szCs w:val="24"/>
                <w:lang w:val="en-US"/>
              </w:rPr>
            </w:pPr>
            <w:r>
              <w:rPr>
                <w:sz w:val="24"/>
                <w:szCs w:val="24"/>
                <w:lang w:val="en-US"/>
              </w:rPr>
              <w:t>3.17 (1.26 to 3.24)</w:t>
            </w:r>
          </w:p>
        </w:tc>
        <w:tc>
          <w:tcPr>
            <w:tcW w:w="222" w:type="dxa"/>
            <w:noWrap/>
            <w:vAlign w:val="center"/>
            <w:hideMark/>
          </w:tcPr>
          <w:p w14:paraId="058346DA" w14:textId="77777777" w:rsidR="005173BB" w:rsidRDefault="005173BB">
            <w:pPr>
              <w:rPr>
                <w:color w:val="FF0000"/>
                <w:sz w:val="24"/>
                <w:szCs w:val="24"/>
                <w:lang w:val="en-US"/>
              </w:rPr>
            </w:pPr>
          </w:p>
        </w:tc>
        <w:tc>
          <w:tcPr>
            <w:tcW w:w="2458" w:type="dxa"/>
            <w:shd w:val="clear" w:color="auto" w:fill="FFFFFF"/>
            <w:vAlign w:val="center"/>
            <w:hideMark/>
          </w:tcPr>
          <w:p w14:paraId="1841CEB2" w14:textId="77777777" w:rsidR="005173BB" w:rsidRDefault="005173BB">
            <w:pPr>
              <w:jc w:val="center"/>
              <w:rPr>
                <w:color w:val="FF0000"/>
                <w:sz w:val="24"/>
                <w:szCs w:val="24"/>
                <w:lang w:val="en-US"/>
              </w:rPr>
            </w:pPr>
            <w:r>
              <w:rPr>
                <w:sz w:val="24"/>
                <w:szCs w:val="24"/>
                <w:lang w:val="en-US"/>
              </w:rPr>
              <w:t>1.80 (1.76 to 4.95)</w:t>
            </w:r>
          </w:p>
        </w:tc>
      </w:tr>
      <w:tr w:rsidR="005173BB" w14:paraId="61180936" w14:textId="77777777" w:rsidTr="005173BB">
        <w:trPr>
          <w:trHeight w:val="290"/>
          <w:jc w:val="center"/>
        </w:trPr>
        <w:tc>
          <w:tcPr>
            <w:tcW w:w="4442" w:type="dxa"/>
            <w:tcBorders>
              <w:top w:val="nil"/>
              <w:left w:val="nil"/>
              <w:bottom w:val="dashed" w:sz="4" w:space="0" w:color="auto"/>
              <w:right w:val="nil"/>
            </w:tcBorders>
            <w:shd w:val="clear" w:color="auto" w:fill="FFFFFF"/>
            <w:vAlign w:val="center"/>
            <w:hideMark/>
          </w:tcPr>
          <w:p w14:paraId="275A66F8" w14:textId="77777777" w:rsidR="005173BB" w:rsidRDefault="005173BB">
            <w:pPr>
              <w:rPr>
                <w:sz w:val="24"/>
                <w:szCs w:val="24"/>
                <w:lang w:val="en-US"/>
              </w:rPr>
            </w:pPr>
            <w:r>
              <w:rPr>
                <w:sz w:val="24"/>
                <w:szCs w:val="24"/>
                <w:lang w:val="en-US"/>
              </w:rPr>
              <w:t> </w:t>
            </w:r>
            <w:r>
              <w:rPr>
                <w:sz w:val="24"/>
                <w:szCs w:val="24"/>
                <w:lang w:val="en-US"/>
              </w:rPr>
              <w:t>Adjusted risk difference (95% CI)</w:t>
            </w:r>
          </w:p>
        </w:tc>
        <w:tc>
          <w:tcPr>
            <w:tcW w:w="2541" w:type="dxa"/>
            <w:tcBorders>
              <w:top w:val="nil"/>
              <w:left w:val="nil"/>
              <w:bottom w:val="dashed" w:sz="4" w:space="0" w:color="auto"/>
              <w:right w:val="nil"/>
            </w:tcBorders>
            <w:vAlign w:val="center"/>
            <w:hideMark/>
          </w:tcPr>
          <w:p w14:paraId="522D106F" w14:textId="77777777" w:rsidR="005173BB" w:rsidRDefault="005173BB">
            <w:pPr>
              <w:jc w:val="center"/>
              <w:rPr>
                <w:color w:val="FF0000"/>
                <w:sz w:val="24"/>
                <w:szCs w:val="24"/>
                <w:lang w:val="en-US"/>
              </w:rPr>
            </w:pPr>
            <w:r>
              <w:rPr>
                <w:sz w:val="24"/>
                <w:szCs w:val="24"/>
                <w:lang w:val="en-US"/>
              </w:rPr>
              <w:t>+0.85% (0.44 to 4.28)</w:t>
            </w:r>
          </w:p>
        </w:tc>
        <w:tc>
          <w:tcPr>
            <w:tcW w:w="222" w:type="dxa"/>
            <w:tcBorders>
              <w:top w:val="nil"/>
              <w:left w:val="nil"/>
              <w:bottom w:val="dashed" w:sz="4" w:space="0" w:color="auto"/>
              <w:right w:val="nil"/>
            </w:tcBorders>
            <w:noWrap/>
            <w:vAlign w:val="center"/>
            <w:hideMark/>
          </w:tcPr>
          <w:p w14:paraId="25DC5216" w14:textId="77777777" w:rsidR="005173BB" w:rsidRDefault="005173BB">
            <w:pPr>
              <w:rPr>
                <w:color w:val="FF0000"/>
                <w:sz w:val="24"/>
                <w:szCs w:val="24"/>
                <w:lang w:val="en-US"/>
              </w:rPr>
            </w:pPr>
          </w:p>
        </w:tc>
        <w:tc>
          <w:tcPr>
            <w:tcW w:w="2458" w:type="dxa"/>
            <w:tcBorders>
              <w:top w:val="nil"/>
              <w:left w:val="nil"/>
              <w:bottom w:val="dashed" w:sz="4" w:space="0" w:color="auto"/>
              <w:right w:val="nil"/>
            </w:tcBorders>
            <w:shd w:val="clear" w:color="auto" w:fill="FFFFFF"/>
            <w:vAlign w:val="center"/>
            <w:hideMark/>
          </w:tcPr>
          <w:p w14:paraId="1045CEB7" w14:textId="77777777" w:rsidR="005173BB" w:rsidRDefault="005173BB">
            <w:pPr>
              <w:jc w:val="center"/>
              <w:rPr>
                <w:color w:val="FF0000"/>
                <w:sz w:val="24"/>
                <w:szCs w:val="24"/>
                <w:lang w:val="en-US"/>
              </w:rPr>
            </w:pPr>
            <w:r>
              <w:rPr>
                <w:sz w:val="24"/>
                <w:szCs w:val="24"/>
                <w:lang w:val="en-US"/>
              </w:rPr>
              <w:t>+2.03% (1.14 to 5.47)</w:t>
            </w:r>
          </w:p>
        </w:tc>
      </w:tr>
      <w:tr w:rsidR="005173BB" w14:paraId="45E693B5" w14:textId="77777777" w:rsidTr="005173BB">
        <w:trPr>
          <w:trHeight w:val="300"/>
          <w:jc w:val="center"/>
        </w:trPr>
        <w:tc>
          <w:tcPr>
            <w:tcW w:w="4442" w:type="dxa"/>
            <w:shd w:val="clear" w:color="auto" w:fill="FFFFFF"/>
            <w:vAlign w:val="center"/>
            <w:hideMark/>
          </w:tcPr>
          <w:p w14:paraId="72264870" w14:textId="77777777" w:rsidR="005173BB" w:rsidRDefault="005173BB">
            <w:pPr>
              <w:rPr>
                <w:b/>
                <w:bCs/>
                <w:sz w:val="24"/>
                <w:szCs w:val="24"/>
                <w:lang w:val="en-US"/>
              </w:rPr>
            </w:pPr>
            <w:r>
              <w:rPr>
                <w:b/>
                <w:bCs/>
                <w:sz w:val="24"/>
                <w:szCs w:val="24"/>
                <w:lang w:val="en-US"/>
              </w:rPr>
              <w:t>Cardiovascular mortality</w:t>
            </w:r>
          </w:p>
        </w:tc>
        <w:tc>
          <w:tcPr>
            <w:tcW w:w="2541" w:type="dxa"/>
            <w:vAlign w:val="center"/>
          </w:tcPr>
          <w:p w14:paraId="41B5D923" w14:textId="77777777" w:rsidR="005173BB" w:rsidRDefault="005173BB">
            <w:pPr>
              <w:jc w:val="center"/>
              <w:rPr>
                <w:color w:val="FF0000"/>
                <w:sz w:val="24"/>
                <w:szCs w:val="24"/>
                <w:lang w:val="en-US"/>
              </w:rPr>
            </w:pPr>
          </w:p>
        </w:tc>
        <w:tc>
          <w:tcPr>
            <w:tcW w:w="222" w:type="dxa"/>
            <w:noWrap/>
            <w:vAlign w:val="center"/>
            <w:hideMark/>
          </w:tcPr>
          <w:p w14:paraId="7857F5A5" w14:textId="77777777" w:rsidR="005173BB" w:rsidRDefault="005173BB">
            <w:pPr>
              <w:rPr>
                <w:color w:val="FF0000"/>
                <w:sz w:val="24"/>
                <w:szCs w:val="24"/>
                <w:lang w:val="en-US"/>
              </w:rPr>
            </w:pPr>
          </w:p>
        </w:tc>
        <w:tc>
          <w:tcPr>
            <w:tcW w:w="2458" w:type="dxa"/>
            <w:shd w:val="clear" w:color="auto" w:fill="FFFFFF"/>
            <w:vAlign w:val="center"/>
          </w:tcPr>
          <w:p w14:paraId="6177A44A" w14:textId="77777777" w:rsidR="005173BB" w:rsidRDefault="005173BB">
            <w:pPr>
              <w:jc w:val="center"/>
              <w:rPr>
                <w:color w:val="FF0000"/>
                <w:sz w:val="24"/>
                <w:szCs w:val="24"/>
                <w:lang w:val="en-US"/>
              </w:rPr>
            </w:pPr>
          </w:p>
        </w:tc>
      </w:tr>
      <w:tr w:rsidR="005173BB" w14:paraId="1BDEF5A4" w14:textId="77777777" w:rsidTr="005173BB">
        <w:trPr>
          <w:trHeight w:val="300"/>
          <w:jc w:val="center"/>
        </w:trPr>
        <w:tc>
          <w:tcPr>
            <w:tcW w:w="4442" w:type="dxa"/>
            <w:shd w:val="clear" w:color="auto" w:fill="FFFFFF"/>
            <w:vAlign w:val="center"/>
            <w:hideMark/>
          </w:tcPr>
          <w:p w14:paraId="39BD6504" w14:textId="77777777" w:rsidR="005173BB" w:rsidRDefault="005173BB">
            <w:pPr>
              <w:rPr>
                <w:sz w:val="24"/>
                <w:szCs w:val="24"/>
                <w:lang w:val="en-US"/>
              </w:rPr>
            </w:pPr>
            <w:r>
              <w:rPr>
                <w:sz w:val="24"/>
                <w:szCs w:val="24"/>
                <w:lang w:val="en-US"/>
              </w:rPr>
              <w:t> </w:t>
            </w:r>
            <w:r>
              <w:rPr>
                <w:sz w:val="24"/>
                <w:szCs w:val="24"/>
                <w:lang w:val="en-US"/>
              </w:rPr>
              <w:t>Adjusted risk ratio (95% CI)</w:t>
            </w:r>
          </w:p>
        </w:tc>
        <w:tc>
          <w:tcPr>
            <w:tcW w:w="2541" w:type="dxa"/>
            <w:vAlign w:val="center"/>
            <w:hideMark/>
          </w:tcPr>
          <w:p w14:paraId="31D91143" w14:textId="77777777" w:rsidR="005173BB" w:rsidRDefault="005173BB">
            <w:pPr>
              <w:jc w:val="center"/>
              <w:rPr>
                <w:sz w:val="24"/>
                <w:szCs w:val="24"/>
                <w:lang w:val="en-US"/>
              </w:rPr>
            </w:pPr>
            <w:r>
              <w:rPr>
                <w:sz w:val="24"/>
                <w:szCs w:val="24"/>
                <w:lang w:val="en-US"/>
              </w:rPr>
              <w:t>2.10 (1.09 to 3.65)</w:t>
            </w:r>
          </w:p>
        </w:tc>
        <w:tc>
          <w:tcPr>
            <w:tcW w:w="222" w:type="dxa"/>
            <w:noWrap/>
            <w:vAlign w:val="center"/>
            <w:hideMark/>
          </w:tcPr>
          <w:p w14:paraId="6F7803C4" w14:textId="77777777" w:rsidR="005173BB" w:rsidRDefault="005173BB">
            <w:pPr>
              <w:rPr>
                <w:sz w:val="24"/>
                <w:szCs w:val="24"/>
                <w:lang w:val="en-US"/>
              </w:rPr>
            </w:pPr>
          </w:p>
        </w:tc>
        <w:tc>
          <w:tcPr>
            <w:tcW w:w="2458" w:type="dxa"/>
            <w:shd w:val="clear" w:color="auto" w:fill="FFFFFF"/>
            <w:vAlign w:val="center"/>
            <w:hideMark/>
          </w:tcPr>
          <w:p w14:paraId="6A355A88" w14:textId="77777777" w:rsidR="005173BB" w:rsidRDefault="005173BB">
            <w:pPr>
              <w:jc w:val="center"/>
              <w:rPr>
                <w:color w:val="FF0000"/>
                <w:sz w:val="24"/>
                <w:szCs w:val="24"/>
                <w:lang w:val="en-US"/>
              </w:rPr>
            </w:pPr>
            <w:r>
              <w:rPr>
                <w:sz w:val="24"/>
                <w:szCs w:val="24"/>
                <w:lang w:val="en-US"/>
              </w:rPr>
              <w:t>0.86 (0.74 to 2.98)</w:t>
            </w:r>
          </w:p>
        </w:tc>
      </w:tr>
      <w:tr w:rsidR="005173BB" w14:paraId="4D8721ED" w14:textId="77777777" w:rsidTr="005173BB">
        <w:trPr>
          <w:trHeight w:val="290"/>
          <w:jc w:val="center"/>
        </w:trPr>
        <w:tc>
          <w:tcPr>
            <w:tcW w:w="4442" w:type="dxa"/>
            <w:tcBorders>
              <w:top w:val="nil"/>
              <w:left w:val="nil"/>
              <w:bottom w:val="dashed" w:sz="4" w:space="0" w:color="auto"/>
              <w:right w:val="nil"/>
            </w:tcBorders>
            <w:shd w:val="clear" w:color="auto" w:fill="FFFFFF"/>
            <w:vAlign w:val="center"/>
            <w:hideMark/>
          </w:tcPr>
          <w:p w14:paraId="53824D13" w14:textId="77777777" w:rsidR="005173BB" w:rsidRDefault="005173BB">
            <w:pPr>
              <w:rPr>
                <w:sz w:val="24"/>
                <w:szCs w:val="24"/>
                <w:lang w:val="en-US"/>
              </w:rPr>
            </w:pPr>
            <w:r>
              <w:rPr>
                <w:sz w:val="24"/>
                <w:szCs w:val="24"/>
                <w:lang w:val="en-US"/>
              </w:rPr>
              <w:t> </w:t>
            </w:r>
            <w:r>
              <w:rPr>
                <w:sz w:val="24"/>
                <w:szCs w:val="24"/>
                <w:lang w:val="en-US"/>
              </w:rPr>
              <w:t>Adjusted risk difference (95% CI)</w:t>
            </w:r>
          </w:p>
        </w:tc>
        <w:tc>
          <w:tcPr>
            <w:tcW w:w="2541" w:type="dxa"/>
            <w:tcBorders>
              <w:top w:val="nil"/>
              <w:left w:val="nil"/>
              <w:bottom w:val="dashed" w:sz="4" w:space="0" w:color="auto"/>
              <w:right w:val="nil"/>
            </w:tcBorders>
            <w:vAlign w:val="center"/>
            <w:hideMark/>
          </w:tcPr>
          <w:p w14:paraId="48D3AA18" w14:textId="77777777" w:rsidR="005173BB" w:rsidRDefault="005173BB">
            <w:pPr>
              <w:jc w:val="center"/>
              <w:rPr>
                <w:sz w:val="24"/>
                <w:szCs w:val="24"/>
                <w:lang w:val="en-US"/>
              </w:rPr>
            </w:pPr>
            <w:r>
              <w:rPr>
                <w:sz w:val="24"/>
                <w:szCs w:val="24"/>
                <w:lang w:val="en-US"/>
              </w:rPr>
              <w:t>+0.47% (0.01 to 1.96)</w:t>
            </w:r>
          </w:p>
        </w:tc>
        <w:tc>
          <w:tcPr>
            <w:tcW w:w="222" w:type="dxa"/>
            <w:tcBorders>
              <w:top w:val="nil"/>
              <w:left w:val="nil"/>
              <w:bottom w:val="dashed" w:sz="4" w:space="0" w:color="auto"/>
              <w:right w:val="nil"/>
            </w:tcBorders>
            <w:noWrap/>
            <w:vAlign w:val="center"/>
            <w:hideMark/>
          </w:tcPr>
          <w:p w14:paraId="7B312C8A" w14:textId="77777777" w:rsidR="005173BB" w:rsidRDefault="005173BB">
            <w:pPr>
              <w:rPr>
                <w:sz w:val="24"/>
                <w:szCs w:val="24"/>
                <w:lang w:val="en-US"/>
              </w:rPr>
            </w:pPr>
          </w:p>
        </w:tc>
        <w:tc>
          <w:tcPr>
            <w:tcW w:w="2458" w:type="dxa"/>
            <w:tcBorders>
              <w:top w:val="nil"/>
              <w:left w:val="nil"/>
              <w:bottom w:val="dashed" w:sz="4" w:space="0" w:color="auto"/>
              <w:right w:val="nil"/>
            </w:tcBorders>
            <w:shd w:val="clear" w:color="auto" w:fill="FFFFFF"/>
            <w:vAlign w:val="center"/>
            <w:hideMark/>
          </w:tcPr>
          <w:p w14:paraId="28869176" w14:textId="77777777" w:rsidR="005173BB" w:rsidRDefault="005173BB">
            <w:pPr>
              <w:jc w:val="center"/>
              <w:rPr>
                <w:color w:val="FF0000"/>
                <w:sz w:val="24"/>
                <w:szCs w:val="24"/>
                <w:lang w:val="en-US"/>
              </w:rPr>
            </w:pPr>
            <w:r>
              <w:rPr>
                <w:sz w:val="24"/>
                <w:szCs w:val="24"/>
                <w:lang w:val="en-US"/>
              </w:rPr>
              <w:t>+0.27% (-0.45 to 1.69)</w:t>
            </w:r>
          </w:p>
        </w:tc>
      </w:tr>
      <w:tr w:rsidR="005173BB" w14:paraId="3B8A9A45" w14:textId="77777777" w:rsidTr="005173BB">
        <w:trPr>
          <w:trHeight w:val="300"/>
          <w:jc w:val="center"/>
        </w:trPr>
        <w:tc>
          <w:tcPr>
            <w:tcW w:w="4442" w:type="dxa"/>
            <w:shd w:val="clear" w:color="auto" w:fill="FFFFFF"/>
            <w:vAlign w:val="center"/>
            <w:hideMark/>
          </w:tcPr>
          <w:p w14:paraId="542D5491" w14:textId="77777777" w:rsidR="005173BB" w:rsidRDefault="005173BB">
            <w:pPr>
              <w:rPr>
                <w:b/>
                <w:bCs/>
                <w:sz w:val="24"/>
                <w:szCs w:val="24"/>
                <w:lang w:val="en-US"/>
              </w:rPr>
            </w:pPr>
            <w:r>
              <w:rPr>
                <w:b/>
                <w:bCs/>
                <w:sz w:val="24"/>
                <w:szCs w:val="24"/>
                <w:lang w:val="en-US"/>
              </w:rPr>
              <w:t>Cancer mortality</w:t>
            </w:r>
          </w:p>
        </w:tc>
        <w:tc>
          <w:tcPr>
            <w:tcW w:w="2541" w:type="dxa"/>
            <w:vAlign w:val="center"/>
          </w:tcPr>
          <w:p w14:paraId="6A1225DA" w14:textId="77777777" w:rsidR="005173BB" w:rsidRDefault="005173BB">
            <w:pPr>
              <w:jc w:val="center"/>
              <w:rPr>
                <w:color w:val="FF0000"/>
                <w:sz w:val="24"/>
                <w:szCs w:val="24"/>
                <w:lang w:val="en-US"/>
              </w:rPr>
            </w:pPr>
          </w:p>
        </w:tc>
        <w:tc>
          <w:tcPr>
            <w:tcW w:w="222" w:type="dxa"/>
            <w:noWrap/>
            <w:vAlign w:val="center"/>
            <w:hideMark/>
          </w:tcPr>
          <w:p w14:paraId="5542FA9B" w14:textId="77777777" w:rsidR="005173BB" w:rsidRDefault="005173BB">
            <w:pPr>
              <w:rPr>
                <w:color w:val="FF0000"/>
                <w:sz w:val="24"/>
                <w:szCs w:val="24"/>
                <w:lang w:val="en-US"/>
              </w:rPr>
            </w:pPr>
          </w:p>
        </w:tc>
        <w:tc>
          <w:tcPr>
            <w:tcW w:w="2458" w:type="dxa"/>
            <w:shd w:val="clear" w:color="auto" w:fill="FFFFFF"/>
            <w:vAlign w:val="center"/>
          </w:tcPr>
          <w:p w14:paraId="0594E10E" w14:textId="77777777" w:rsidR="005173BB" w:rsidRDefault="005173BB">
            <w:pPr>
              <w:jc w:val="center"/>
              <w:rPr>
                <w:color w:val="FF0000"/>
                <w:sz w:val="24"/>
                <w:szCs w:val="24"/>
                <w:lang w:val="en-US"/>
              </w:rPr>
            </w:pPr>
          </w:p>
        </w:tc>
      </w:tr>
      <w:tr w:rsidR="005173BB" w14:paraId="5A975774" w14:textId="77777777" w:rsidTr="005173BB">
        <w:trPr>
          <w:trHeight w:val="300"/>
          <w:jc w:val="center"/>
        </w:trPr>
        <w:tc>
          <w:tcPr>
            <w:tcW w:w="4442" w:type="dxa"/>
            <w:shd w:val="clear" w:color="auto" w:fill="FFFFFF"/>
            <w:vAlign w:val="center"/>
            <w:hideMark/>
          </w:tcPr>
          <w:p w14:paraId="4F4D2E25" w14:textId="77777777" w:rsidR="005173BB" w:rsidRDefault="005173BB">
            <w:pPr>
              <w:rPr>
                <w:sz w:val="24"/>
                <w:szCs w:val="24"/>
                <w:lang w:val="en-US"/>
              </w:rPr>
            </w:pPr>
            <w:r>
              <w:rPr>
                <w:sz w:val="24"/>
                <w:szCs w:val="24"/>
                <w:lang w:val="en-US"/>
              </w:rPr>
              <w:t> </w:t>
            </w:r>
            <w:r>
              <w:rPr>
                <w:sz w:val="24"/>
                <w:szCs w:val="24"/>
                <w:lang w:val="en-US"/>
              </w:rPr>
              <w:t>Adjusted risk ratio (95% CI)</w:t>
            </w:r>
          </w:p>
        </w:tc>
        <w:tc>
          <w:tcPr>
            <w:tcW w:w="2541" w:type="dxa"/>
            <w:vAlign w:val="center"/>
            <w:hideMark/>
          </w:tcPr>
          <w:p w14:paraId="5EF01C8D" w14:textId="77777777" w:rsidR="005173BB" w:rsidRDefault="005173BB">
            <w:pPr>
              <w:jc w:val="center"/>
              <w:rPr>
                <w:sz w:val="24"/>
                <w:szCs w:val="24"/>
                <w:lang w:val="en-US"/>
              </w:rPr>
            </w:pPr>
            <w:r>
              <w:rPr>
                <w:sz w:val="24"/>
                <w:szCs w:val="24"/>
                <w:lang w:val="en-US"/>
              </w:rPr>
              <w:t>5.27 (1.18 to 8.38)</w:t>
            </w:r>
          </w:p>
        </w:tc>
        <w:tc>
          <w:tcPr>
            <w:tcW w:w="222" w:type="dxa"/>
            <w:noWrap/>
            <w:vAlign w:val="center"/>
            <w:hideMark/>
          </w:tcPr>
          <w:p w14:paraId="3C8448A1" w14:textId="77777777" w:rsidR="005173BB" w:rsidRDefault="005173BB">
            <w:pPr>
              <w:rPr>
                <w:sz w:val="24"/>
                <w:szCs w:val="24"/>
                <w:lang w:val="en-US"/>
              </w:rPr>
            </w:pPr>
          </w:p>
        </w:tc>
        <w:tc>
          <w:tcPr>
            <w:tcW w:w="2458" w:type="dxa"/>
            <w:shd w:val="clear" w:color="auto" w:fill="FFFFFF"/>
            <w:vAlign w:val="center"/>
            <w:hideMark/>
          </w:tcPr>
          <w:p w14:paraId="39E3288C" w14:textId="77777777" w:rsidR="005173BB" w:rsidRDefault="005173BB">
            <w:pPr>
              <w:jc w:val="center"/>
              <w:rPr>
                <w:color w:val="FF0000"/>
                <w:sz w:val="24"/>
                <w:szCs w:val="24"/>
                <w:lang w:val="en-US"/>
              </w:rPr>
            </w:pPr>
            <w:r>
              <w:rPr>
                <w:sz w:val="24"/>
                <w:szCs w:val="24"/>
                <w:lang w:val="en-US"/>
              </w:rPr>
              <w:t>3.51 (0.67 to 4.34)</w:t>
            </w:r>
          </w:p>
        </w:tc>
      </w:tr>
      <w:tr w:rsidR="005173BB" w14:paraId="7A8A5928" w14:textId="77777777" w:rsidTr="005173BB">
        <w:trPr>
          <w:trHeight w:val="290"/>
          <w:jc w:val="center"/>
        </w:trPr>
        <w:tc>
          <w:tcPr>
            <w:tcW w:w="4442" w:type="dxa"/>
            <w:tcBorders>
              <w:top w:val="nil"/>
              <w:left w:val="nil"/>
              <w:bottom w:val="single" w:sz="4" w:space="0" w:color="auto"/>
              <w:right w:val="nil"/>
            </w:tcBorders>
            <w:shd w:val="clear" w:color="auto" w:fill="FFFFFF"/>
            <w:vAlign w:val="center"/>
            <w:hideMark/>
          </w:tcPr>
          <w:p w14:paraId="7B02D9C0" w14:textId="77777777" w:rsidR="005173BB" w:rsidRDefault="005173BB">
            <w:pPr>
              <w:rPr>
                <w:sz w:val="24"/>
                <w:szCs w:val="24"/>
                <w:lang w:val="en-US"/>
              </w:rPr>
            </w:pPr>
            <w:r>
              <w:rPr>
                <w:sz w:val="24"/>
                <w:szCs w:val="24"/>
                <w:lang w:val="en-US"/>
              </w:rPr>
              <w:t xml:space="preserve">    Adjusted risk difference (95% CI)</w:t>
            </w:r>
          </w:p>
        </w:tc>
        <w:tc>
          <w:tcPr>
            <w:tcW w:w="2541" w:type="dxa"/>
            <w:tcBorders>
              <w:top w:val="nil"/>
              <w:left w:val="nil"/>
              <w:bottom w:val="single" w:sz="4" w:space="0" w:color="auto"/>
              <w:right w:val="nil"/>
            </w:tcBorders>
            <w:vAlign w:val="center"/>
            <w:hideMark/>
          </w:tcPr>
          <w:p w14:paraId="37688812" w14:textId="77777777" w:rsidR="005173BB" w:rsidRDefault="005173BB">
            <w:pPr>
              <w:jc w:val="center"/>
              <w:rPr>
                <w:color w:val="FF0000"/>
                <w:sz w:val="24"/>
                <w:szCs w:val="24"/>
                <w:lang w:val="en-US"/>
              </w:rPr>
            </w:pPr>
            <w:r>
              <w:rPr>
                <w:sz w:val="24"/>
                <w:szCs w:val="24"/>
                <w:lang w:val="en-US"/>
              </w:rPr>
              <w:t>+0.35% (0.10 to 1.94)</w:t>
            </w:r>
          </w:p>
        </w:tc>
        <w:tc>
          <w:tcPr>
            <w:tcW w:w="222" w:type="dxa"/>
            <w:tcBorders>
              <w:top w:val="nil"/>
              <w:left w:val="nil"/>
              <w:bottom w:val="single" w:sz="4" w:space="0" w:color="auto"/>
              <w:right w:val="nil"/>
            </w:tcBorders>
            <w:noWrap/>
            <w:vAlign w:val="center"/>
            <w:hideMark/>
          </w:tcPr>
          <w:p w14:paraId="4038F4FA" w14:textId="77777777" w:rsidR="005173BB" w:rsidRDefault="005173BB">
            <w:pPr>
              <w:rPr>
                <w:color w:val="FF0000"/>
                <w:sz w:val="24"/>
                <w:szCs w:val="24"/>
                <w:lang w:val="en-US"/>
              </w:rPr>
            </w:pPr>
          </w:p>
        </w:tc>
        <w:tc>
          <w:tcPr>
            <w:tcW w:w="2458" w:type="dxa"/>
            <w:tcBorders>
              <w:top w:val="nil"/>
              <w:left w:val="nil"/>
              <w:bottom w:val="single" w:sz="4" w:space="0" w:color="auto"/>
              <w:right w:val="nil"/>
            </w:tcBorders>
            <w:shd w:val="clear" w:color="auto" w:fill="FFFFFF"/>
            <w:vAlign w:val="center"/>
            <w:hideMark/>
          </w:tcPr>
          <w:p w14:paraId="641AFDE0" w14:textId="77777777" w:rsidR="005173BB" w:rsidRDefault="005173BB">
            <w:pPr>
              <w:jc w:val="center"/>
              <w:rPr>
                <w:color w:val="FF0000"/>
                <w:sz w:val="24"/>
                <w:szCs w:val="24"/>
                <w:lang w:val="en-US"/>
              </w:rPr>
            </w:pPr>
            <w:r>
              <w:rPr>
                <w:sz w:val="24"/>
                <w:szCs w:val="24"/>
                <w:lang w:val="en-US"/>
              </w:rPr>
              <w:t>+0.18% (-0.41 to 1.39)</w:t>
            </w:r>
          </w:p>
        </w:tc>
      </w:tr>
    </w:tbl>
    <w:p w14:paraId="288B4B1E" w14:textId="77777777" w:rsidR="005173BB" w:rsidRDefault="005173BB" w:rsidP="005173BB">
      <w:pPr>
        <w:ind w:firstLine="720"/>
        <w:jc w:val="both"/>
        <w:rPr>
          <w:lang w:val="en-US"/>
        </w:rPr>
      </w:pPr>
      <w:r>
        <w:rPr>
          <w:vertAlign w:val="superscript"/>
          <w:lang w:val="en-US"/>
        </w:rPr>
        <w:t>a</w:t>
      </w:r>
      <w:r>
        <w:rPr>
          <w:lang w:val="en-US"/>
        </w:rPr>
        <w:t>200 iterations were performed for bootstrapping the estimates 95% confidence interval</w:t>
      </w:r>
    </w:p>
    <w:p w14:paraId="02CD93D8" w14:textId="77777777" w:rsidR="005173BB" w:rsidRDefault="005173BB" w:rsidP="005173BB">
      <w:pPr>
        <w:ind w:firstLine="720"/>
        <w:jc w:val="both"/>
        <w:rPr>
          <w:lang w:val="en-US"/>
        </w:rPr>
      </w:pPr>
      <w:bookmarkStart w:id="0" w:name="_Hlk90376336"/>
      <w:r>
        <w:rPr>
          <w:lang w:val="en-US"/>
        </w:rPr>
        <w:t>low level: 5</w:t>
      </w:r>
      <w:r>
        <w:rPr>
          <w:vertAlign w:val="superscript"/>
          <w:lang w:val="en-US"/>
        </w:rPr>
        <w:t>th</w:t>
      </w:r>
      <w:r>
        <w:rPr>
          <w:lang w:val="en-US"/>
        </w:rPr>
        <w:t xml:space="preserve"> percentiles of blood lead (0.70 </w:t>
      </w:r>
      <w:r>
        <w:t>μ</w:t>
      </w:r>
      <w:r>
        <w:rPr>
          <w:lang w:val="en-US"/>
        </w:rPr>
        <w:t xml:space="preserve">g/dL or 0.03 </w:t>
      </w:r>
      <w:proofErr w:type="spellStart"/>
      <w:r>
        <w:rPr>
          <w:lang w:val="en-US"/>
        </w:rPr>
        <w:t>umol</w:t>
      </w:r>
      <w:proofErr w:type="spellEnd"/>
      <w:r>
        <w:rPr>
          <w:lang w:val="en-US"/>
        </w:rPr>
        <w:t xml:space="preserve">/L) and urinary cadmium (0.04 </w:t>
      </w:r>
      <w:r>
        <w:t>μ</w:t>
      </w:r>
      <w:r>
        <w:rPr>
          <w:lang w:val="en-US"/>
        </w:rPr>
        <w:t>g/g) distributions</w:t>
      </w:r>
    </w:p>
    <w:p w14:paraId="23AD860F" w14:textId="77777777" w:rsidR="005173BB" w:rsidRDefault="005173BB" w:rsidP="005173BB">
      <w:pPr>
        <w:ind w:firstLine="720"/>
        <w:jc w:val="both"/>
        <w:rPr>
          <w:lang w:val="en-US"/>
        </w:rPr>
      </w:pPr>
      <w:r>
        <w:rPr>
          <w:lang w:val="en-US"/>
        </w:rPr>
        <w:t>high level: 95</w:t>
      </w:r>
      <w:r>
        <w:rPr>
          <w:vertAlign w:val="superscript"/>
          <w:lang w:val="en-US"/>
        </w:rPr>
        <w:t>th</w:t>
      </w:r>
      <w:r>
        <w:rPr>
          <w:lang w:val="en-US"/>
        </w:rPr>
        <w:t xml:space="preserve"> percentiles of blood lead (9.70 </w:t>
      </w:r>
      <w:r>
        <w:t>μ</w:t>
      </w:r>
      <w:r>
        <w:rPr>
          <w:lang w:val="en-US"/>
        </w:rPr>
        <w:t xml:space="preserve">g/dL or 0.47 </w:t>
      </w:r>
      <w:proofErr w:type="spellStart"/>
      <w:r>
        <w:rPr>
          <w:lang w:val="en-US"/>
        </w:rPr>
        <w:t>umol</w:t>
      </w:r>
      <w:proofErr w:type="spellEnd"/>
      <w:r>
        <w:rPr>
          <w:lang w:val="en-US"/>
        </w:rPr>
        <w:t xml:space="preserve">/L) and urinary cadmium (1.63 </w:t>
      </w:r>
      <w:r>
        <w:t>μ</w:t>
      </w:r>
      <w:r>
        <w:rPr>
          <w:lang w:val="en-US"/>
        </w:rPr>
        <w:t>g/g) distributions</w:t>
      </w:r>
    </w:p>
    <w:bookmarkEnd w:id="0"/>
    <w:p w14:paraId="52FCB6F5" w14:textId="77777777" w:rsidR="005173BB" w:rsidRDefault="005173BB" w:rsidP="005173BB">
      <w:pPr>
        <w:autoSpaceDE/>
        <w:autoSpaceDN/>
        <w:rPr>
          <w:lang w:val="en-US"/>
        </w:rPr>
        <w:sectPr w:rsidR="005173BB">
          <w:pgSz w:w="12240" w:h="15840"/>
          <w:pgMar w:top="1440" w:right="1440" w:bottom="1440" w:left="1440" w:header="720" w:footer="720" w:gutter="0"/>
          <w:cols w:space="720"/>
        </w:sectPr>
      </w:pPr>
    </w:p>
    <w:p w14:paraId="4403A6C0" w14:textId="77777777" w:rsidR="005173BB" w:rsidRDefault="005173BB" w:rsidP="005173BB">
      <w:pPr>
        <w:rPr>
          <w:sz w:val="24"/>
          <w:szCs w:val="24"/>
          <w:lang w:val="en-US"/>
        </w:rPr>
      </w:pPr>
      <w:r>
        <w:rPr>
          <w:sz w:val="24"/>
          <w:szCs w:val="24"/>
          <w:lang w:val="en-US"/>
        </w:rPr>
        <w:lastRenderedPageBreak/>
        <w:t xml:space="preserve">Table S5: Mid-follow-up (13 years) </w:t>
      </w:r>
      <w:r>
        <w:rPr>
          <w:sz w:val="24"/>
          <w:lang w:val="en-US"/>
        </w:rPr>
        <w:t xml:space="preserve">adjusted all-cause and specific-cause of mortality risk ratio and risk difference of metals extreme quartiles using parametric g-formula with pooled logistic regression </w:t>
      </w:r>
      <w:proofErr w:type="spellStart"/>
      <w:r>
        <w:rPr>
          <w:sz w:val="24"/>
          <w:lang w:val="en-US"/>
        </w:rPr>
        <w:t>models</w:t>
      </w:r>
      <w:r>
        <w:rPr>
          <w:sz w:val="24"/>
          <w:vertAlign w:val="superscript"/>
          <w:lang w:val="en-US"/>
        </w:rPr>
        <w:t>a</w:t>
      </w:r>
      <w:proofErr w:type="spellEnd"/>
    </w:p>
    <w:tbl>
      <w:tblPr>
        <w:tblW w:w="9863" w:type="dxa"/>
        <w:jc w:val="center"/>
        <w:tblLook w:val="04A0" w:firstRow="1" w:lastRow="0" w:firstColumn="1" w:lastColumn="0" w:noHBand="0" w:noVBand="1"/>
      </w:tblPr>
      <w:tblGrid>
        <w:gridCol w:w="4442"/>
        <w:gridCol w:w="2541"/>
        <w:gridCol w:w="222"/>
        <w:gridCol w:w="2658"/>
      </w:tblGrid>
      <w:tr w:rsidR="005173BB" w14:paraId="2CD73914" w14:textId="77777777" w:rsidTr="005173BB">
        <w:trPr>
          <w:trHeight w:val="290"/>
          <w:jc w:val="center"/>
        </w:trPr>
        <w:tc>
          <w:tcPr>
            <w:tcW w:w="4442" w:type="dxa"/>
            <w:tcBorders>
              <w:top w:val="single" w:sz="4" w:space="0" w:color="auto"/>
              <w:left w:val="nil"/>
              <w:bottom w:val="single" w:sz="4" w:space="0" w:color="auto"/>
              <w:right w:val="nil"/>
            </w:tcBorders>
            <w:vAlign w:val="center"/>
            <w:hideMark/>
          </w:tcPr>
          <w:p w14:paraId="5B20F41B" w14:textId="77777777" w:rsidR="005173BB" w:rsidRDefault="005173BB">
            <w:pPr>
              <w:rPr>
                <w:b/>
                <w:bCs/>
                <w:sz w:val="24"/>
                <w:szCs w:val="24"/>
                <w:lang w:val="en-US"/>
              </w:rPr>
            </w:pPr>
            <w:r>
              <w:rPr>
                <w:b/>
                <w:bCs/>
                <w:sz w:val="24"/>
                <w:szCs w:val="24"/>
                <w:lang w:val="en-US"/>
              </w:rPr>
              <w:t>Outcomes</w:t>
            </w:r>
          </w:p>
        </w:tc>
        <w:tc>
          <w:tcPr>
            <w:tcW w:w="2541" w:type="dxa"/>
            <w:tcBorders>
              <w:top w:val="single" w:sz="4" w:space="0" w:color="auto"/>
              <w:left w:val="nil"/>
              <w:bottom w:val="single" w:sz="4" w:space="0" w:color="auto"/>
              <w:right w:val="nil"/>
            </w:tcBorders>
            <w:hideMark/>
          </w:tcPr>
          <w:p w14:paraId="1A41A047" w14:textId="77777777" w:rsidR="005173BB" w:rsidRDefault="005173BB">
            <w:pPr>
              <w:jc w:val="center"/>
              <w:rPr>
                <w:sz w:val="24"/>
                <w:szCs w:val="24"/>
                <w:lang w:val="en-US"/>
              </w:rPr>
            </w:pPr>
            <w:r>
              <w:rPr>
                <w:b/>
                <w:bCs/>
                <w:sz w:val="24"/>
                <w:szCs w:val="24"/>
                <w:lang w:val="en-US"/>
              </w:rPr>
              <w:t xml:space="preserve">Blood </w:t>
            </w:r>
            <w:proofErr w:type="gramStart"/>
            <w:r>
              <w:rPr>
                <w:b/>
                <w:bCs/>
                <w:sz w:val="24"/>
                <w:szCs w:val="24"/>
                <w:lang w:val="en-US"/>
              </w:rPr>
              <w:t>lead</w:t>
            </w:r>
            <w:proofErr w:type="gramEnd"/>
          </w:p>
        </w:tc>
        <w:tc>
          <w:tcPr>
            <w:tcW w:w="222" w:type="dxa"/>
            <w:tcBorders>
              <w:top w:val="single" w:sz="4" w:space="0" w:color="auto"/>
              <w:left w:val="nil"/>
              <w:bottom w:val="nil"/>
              <w:right w:val="nil"/>
            </w:tcBorders>
            <w:noWrap/>
            <w:vAlign w:val="bottom"/>
          </w:tcPr>
          <w:p w14:paraId="62AE8FEB" w14:textId="77777777" w:rsidR="005173BB" w:rsidRDefault="005173BB">
            <w:pPr>
              <w:jc w:val="center"/>
              <w:rPr>
                <w:sz w:val="24"/>
                <w:szCs w:val="24"/>
                <w:lang w:val="en-US"/>
              </w:rPr>
            </w:pPr>
          </w:p>
        </w:tc>
        <w:tc>
          <w:tcPr>
            <w:tcW w:w="2658" w:type="dxa"/>
            <w:tcBorders>
              <w:top w:val="single" w:sz="4" w:space="0" w:color="auto"/>
              <w:left w:val="nil"/>
              <w:bottom w:val="single" w:sz="4" w:space="0" w:color="auto"/>
              <w:right w:val="nil"/>
            </w:tcBorders>
            <w:hideMark/>
          </w:tcPr>
          <w:p w14:paraId="5DD41930" w14:textId="77777777" w:rsidR="005173BB" w:rsidRDefault="005173BB">
            <w:pPr>
              <w:jc w:val="center"/>
              <w:rPr>
                <w:b/>
                <w:bCs/>
                <w:sz w:val="24"/>
                <w:szCs w:val="24"/>
                <w:lang w:val="en-US"/>
              </w:rPr>
            </w:pPr>
            <w:r>
              <w:rPr>
                <w:b/>
                <w:bCs/>
                <w:sz w:val="24"/>
                <w:szCs w:val="24"/>
                <w:lang w:val="en-US"/>
              </w:rPr>
              <w:t>Urinary cadmium</w:t>
            </w:r>
          </w:p>
        </w:tc>
      </w:tr>
      <w:tr w:rsidR="005173BB" w14:paraId="6FB37CEA" w14:textId="77777777" w:rsidTr="005173BB">
        <w:trPr>
          <w:trHeight w:val="300"/>
          <w:jc w:val="center"/>
        </w:trPr>
        <w:tc>
          <w:tcPr>
            <w:tcW w:w="4442" w:type="dxa"/>
            <w:shd w:val="clear" w:color="auto" w:fill="FFFFFF"/>
            <w:vAlign w:val="center"/>
            <w:hideMark/>
          </w:tcPr>
          <w:p w14:paraId="57B58AA8" w14:textId="77777777" w:rsidR="005173BB" w:rsidRDefault="005173BB">
            <w:pPr>
              <w:rPr>
                <w:b/>
                <w:bCs/>
                <w:sz w:val="24"/>
                <w:szCs w:val="24"/>
                <w:lang w:val="en-US"/>
              </w:rPr>
            </w:pPr>
            <w:r>
              <w:rPr>
                <w:b/>
                <w:bCs/>
                <w:sz w:val="24"/>
                <w:szCs w:val="24"/>
                <w:lang w:val="en-US"/>
              </w:rPr>
              <w:t>All-cause mortality</w:t>
            </w:r>
          </w:p>
        </w:tc>
        <w:tc>
          <w:tcPr>
            <w:tcW w:w="2541" w:type="dxa"/>
            <w:tcBorders>
              <w:top w:val="single" w:sz="4" w:space="0" w:color="auto"/>
              <w:left w:val="nil"/>
              <w:bottom w:val="nil"/>
              <w:right w:val="nil"/>
            </w:tcBorders>
            <w:vAlign w:val="center"/>
          </w:tcPr>
          <w:p w14:paraId="6A95396D" w14:textId="77777777" w:rsidR="005173BB" w:rsidRDefault="005173BB">
            <w:pPr>
              <w:jc w:val="center"/>
              <w:rPr>
                <w:sz w:val="24"/>
                <w:szCs w:val="24"/>
                <w:lang w:val="en-US"/>
              </w:rPr>
            </w:pPr>
          </w:p>
        </w:tc>
        <w:tc>
          <w:tcPr>
            <w:tcW w:w="222" w:type="dxa"/>
            <w:noWrap/>
            <w:vAlign w:val="center"/>
            <w:hideMark/>
          </w:tcPr>
          <w:p w14:paraId="79C90819" w14:textId="77777777" w:rsidR="005173BB" w:rsidRDefault="005173BB">
            <w:pPr>
              <w:rPr>
                <w:sz w:val="24"/>
                <w:szCs w:val="24"/>
                <w:lang w:val="en-US"/>
              </w:rPr>
            </w:pPr>
          </w:p>
        </w:tc>
        <w:tc>
          <w:tcPr>
            <w:tcW w:w="2658" w:type="dxa"/>
            <w:shd w:val="clear" w:color="auto" w:fill="FFFFFF"/>
          </w:tcPr>
          <w:p w14:paraId="3048B0CD" w14:textId="77777777" w:rsidR="005173BB" w:rsidRDefault="005173BB">
            <w:pPr>
              <w:jc w:val="center"/>
              <w:rPr>
                <w:sz w:val="24"/>
                <w:szCs w:val="24"/>
                <w:lang w:val="en-US"/>
              </w:rPr>
            </w:pPr>
          </w:p>
        </w:tc>
      </w:tr>
      <w:tr w:rsidR="005173BB" w14:paraId="26742849" w14:textId="77777777" w:rsidTr="005173BB">
        <w:trPr>
          <w:trHeight w:val="300"/>
          <w:jc w:val="center"/>
        </w:trPr>
        <w:tc>
          <w:tcPr>
            <w:tcW w:w="4442" w:type="dxa"/>
            <w:shd w:val="clear" w:color="auto" w:fill="FFFFFF"/>
            <w:vAlign w:val="center"/>
            <w:hideMark/>
          </w:tcPr>
          <w:p w14:paraId="53CC120C" w14:textId="77777777" w:rsidR="005173BB" w:rsidRDefault="005173BB">
            <w:pPr>
              <w:rPr>
                <w:sz w:val="24"/>
                <w:szCs w:val="24"/>
                <w:lang w:val="en-US"/>
              </w:rPr>
            </w:pPr>
            <w:r>
              <w:rPr>
                <w:sz w:val="24"/>
                <w:szCs w:val="24"/>
                <w:lang w:val="en-US"/>
              </w:rPr>
              <w:t> </w:t>
            </w:r>
            <w:r>
              <w:rPr>
                <w:sz w:val="24"/>
                <w:szCs w:val="24"/>
                <w:lang w:val="en-US"/>
              </w:rPr>
              <w:t>Adjusted risk ratio (95% CI)</w:t>
            </w:r>
          </w:p>
        </w:tc>
        <w:tc>
          <w:tcPr>
            <w:tcW w:w="2541" w:type="dxa"/>
            <w:vAlign w:val="center"/>
            <w:hideMark/>
          </w:tcPr>
          <w:p w14:paraId="56DD25B5" w14:textId="77777777" w:rsidR="005173BB" w:rsidRDefault="005173BB">
            <w:pPr>
              <w:jc w:val="center"/>
              <w:rPr>
                <w:sz w:val="24"/>
                <w:szCs w:val="24"/>
                <w:lang w:val="en-US"/>
              </w:rPr>
            </w:pPr>
            <w:r>
              <w:rPr>
                <w:sz w:val="24"/>
                <w:szCs w:val="24"/>
                <w:lang w:val="en-US"/>
              </w:rPr>
              <w:t>1.76 (1.16 to 3.69)</w:t>
            </w:r>
          </w:p>
        </w:tc>
        <w:tc>
          <w:tcPr>
            <w:tcW w:w="222" w:type="dxa"/>
            <w:noWrap/>
            <w:vAlign w:val="center"/>
            <w:hideMark/>
          </w:tcPr>
          <w:p w14:paraId="7CFC784D" w14:textId="77777777" w:rsidR="005173BB" w:rsidRDefault="005173BB">
            <w:pPr>
              <w:rPr>
                <w:sz w:val="24"/>
                <w:szCs w:val="24"/>
                <w:lang w:val="en-US"/>
              </w:rPr>
            </w:pPr>
          </w:p>
        </w:tc>
        <w:tc>
          <w:tcPr>
            <w:tcW w:w="2658" w:type="dxa"/>
            <w:shd w:val="clear" w:color="auto" w:fill="FFFFFF"/>
            <w:vAlign w:val="center"/>
            <w:hideMark/>
          </w:tcPr>
          <w:p w14:paraId="7CA02338" w14:textId="77777777" w:rsidR="005173BB" w:rsidRDefault="005173BB">
            <w:pPr>
              <w:jc w:val="center"/>
              <w:rPr>
                <w:sz w:val="24"/>
                <w:szCs w:val="24"/>
                <w:lang w:val="en-US"/>
              </w:rPr>
            </w:pPr>
            <w:r>
              <w:rPr>
                <w:sz w:val="24"/>
                <w:szCs w:val="24"/>
                <w:lang w:val="en-US"/>
              </w:rPr>
              <w:t>1.83 (1.75 to 5.65)</w:t>
            </w:r>
          </w:p>
        </w:tc>
      </w:tr>
      <w:tr w:rsidR="005173BB" w14:paraId="1AC58B15" w14:textId="77777777" w:rsidTr="005173BB">
        <w:trPr>
          <w:trHeight w:val="290"/>
          <w:jc w:val="center"/>
        </w:trPr>
        <w:tc>
          <w:tcPr>
            <w:tcW w:w="4442" w:type="dxa"/>
            <w:tcBorders>
              <w:top w:val="nil"/>
              <w:left w:val="nil"/>
              <w:bottom w:val="dashed" w:sz="4" w:space="0" w:color="auto"/>
              <w:right w:val="nil"/>
            </w:tcBorders>
            <w:shd w:val="clear" w:color="auto" w:fill="FFFFFF"/>
            <w:vAlign w:val="center"/>
            <w:hideMark/>
          </w:tcPr>
          <w:p w14:paraId="513A459F" w14:textId="77777777" w:rsidR="005173BB" w:rsidRDefault="005173BB">
            <w:pPr>
              <w:rPr>
                <w:sz w:val="24"/>
                <w:szCs w:val="24"/>
                <w:lang w:val="en-US"/>
              </w:rPr>
            </w:pPr>
            <w:r>
              <w:rPr>
                <w:sz w:val="24"/>
                <w:szCs w:val="24"/>
                <w:lang w:val="en-US"/>
              </w:rPr>
              <w:t> </w:t>
            </w:r>
            <w:r>
              <w:rPr>
                <w:sz w:val="24"/>
                <w:szCs w:val="24"/>
                <w:lang w:val="en-US"/>
              </w:rPr>
              <w:t>Adjusted risk difference (95% CI)</w:t>
            </w:r>
          </w:p>
        </w:tc>
        <w:tc>
          <w:tcPr>
            <w:tcW w:w="2541" w:type="dxa"/>
            <w:tcBorders>
              <w:top w:val="nil"/>
              <w:left w:val="nil"/>
              <w:bottom w:val="dashed" w:sz="4" w:space="0" w:color="auto"/>
              <w:right w:val="nil"/>
            </w:tcBorders>
            <w:vAlign w:val="center"/>
            <w:hideMark/>
          </w:tcPr>
          <w:p w14:paraId="438DBB14" w14:textId="77777777" w:rsidR="005173BB" w:rsidRDefault="005173BB">
            <w:pPr>
              <w:jc w:val="center"/>
              <w:rPr>
                <w:color w:val="FF0000"/>
                <w:sz w:val="24"/>
                <w:szCs w:val="24"/>
                <w:lang w:val="en-US"/>
              </w:rPr>
            </w:pPr>
            <w:r>
              <w:rPr>
                <w:sz w:val="24"/>
                <w:szCs w:val="24"/>
                <w:lang w:val="en-US"/>
              </w:rPr>
              <w:t>+0.42% (0.38 to 7.45)</w:t>
            </w:r>
          </w:p>
        </w:tc>
        <w:tc>
          <w:tcPr>
            <w:tcW w:w="222" w:type="dxa"/>
            <w:tcBorders>
              <w:top w:val="nil"/>
              <w:left w:val="nil"/>
              <w:bottom w:val="dashed" w:sz="4" w:space="0" w:color="auto"/>
              <w:right w:val="nil"/>
            </w:tcBorders>
            <w:noWrap/>
            <w:vAlign w:val="center"/>
            <w:hideMark/>
          </w:tcPr>
          <w:p w14:paraId="2F4ED1B2" w14:textId="77777777" w:rsidR="005173BB" w:rsidRDefault="005173BB">
            <w:pPr>
              <w:rPr>
                <w:color w:val="FF0000"/>
                <w:sz w:val="24"/>
                <w:szCs w:val="24"/>
                <w:lang w:val="en-US"/>
              </w:rPr>
            </w:pPr>
          </w:p>
        </w:tc>
        <w:tc>
          <w:tcPr>
            <w:tcW w:w="2658" w:type="dxa"/>
            <w:tcBorders>
              <w:top w:val="nil"/>
              <w:left w:val="nil"/>
              <w:bottom w:val="dashed" w:sz="4" w:space="0" w:color="auto"/>
              <w:right w:val="nil"/>
            </w:tcBorders>
            <w:shd w:val="clear" w:color="auto" w:fill="FFFFFF"/>
            <w:vAlign w:val="center"/>
            <w:hideMark/>
          </w:tcPr>
          <w:p w14:paraId="7DCF74EC" w14:textId="77777777" w:rsidR="005173BB" w:rsidRDefault="005173BB">
            <w:pPr>
              <w:jc w:val="center"/>
              <w:rPr>
                <w:sz w:val="24"/>
                <w:szCs w:val="24"/>
                <w:lang w:val="en-US"/>
              </w:rPr>
            </w:pPr>
            <w:r>
              <w:rPr>
                <w:sz w:val="24"/>
                <w:szCs w:val="24"/>
                <w:lang w:val="en-US"/>
              </w:rPr>
              <w:t>+2.42% (1.03 to 11.22)</w:t>
            </w:r>
          </w:p>
        </w:tc>
      </w:tr>
      <w:tr w:rsidR="005173BB" w14:paraId="7A1E3A25" w14:textId="77777777" w:rsidTr="005173BB">
        <w:trPr>
          <w:trHeight w:val="300"/>
          <w:jc w:val="center"/>
        </w:trPr>
        <w:tc>
          <w:tcPr>
            <w:tcW w:w="4442" w:type="dxa"/>
            <w:shd w:val="clear" w:color="auto" w:fill="FFFFFF"/>
            <w:vAlign w:val="center"/>
            <w:hideMark/>
          </w:tcPr>
          <w:p w14:paraId="27755629" w14:textId="77777777" w:rsidR="005173BB" w:rsidRDefault="005173BB">
            <w:pPr>
              <w:rPr>
                <w:b/>
                <w:bCs/>
                <w:sz w:val="24"/>
                <w:szCs w:val="24"/>
                <w:lang w:val="en-US"/>
              </w:rPr>
            </w:pPr>
            <w:r>
              <w:rPr>
                <w:b/>
                <w:bCs/>
                <w:sz w:val="24"/>
                <w:szCs w:val="24"/>
                <w:lang w:val="en-US"/>
              </w:rPr>
              <w:t>Cardiovascular mortality</w:t>
            </w:r>
          </w:p>
        </w:tc>
        <w:tc>
          <w:tcPr>
            <w:tcW w:w="2541" w:type="dxa"/>
            <w:vAlign w:val="center"/>
          </w:tcPr>
          <w:p w14:paraId="5B7718D7" w14:textId="77777777" w:rsidR="005173BB" w:rsidRDefault="005173BB">
            <w:pPr>
              <w:jc w:val="center"/>
              <w:rPr>
                <w:color w:val="FF0000"/>
                <w:sz w:val="24"/>
                <w:szCs w:val="24"/>
                <w:lang w:val="en-US"/>
              </w:rPr>
            </w:pPr>
          </w:p>
        </w:tc>
        <w:tc>
          <w:tcPr>
            <w:tcW w:w="222" w:type="dxa"/>
            <w:noWrap/>
            <w:vAlign w:val="center"/>
            <w:hideMark/>
          </w:tcPr>
          <w:p w14:paraId="0300E7EB" w14:textId="77777777" w:rsidR="005173BB" w:rsidRDefault="005173BB">
            <w:pPr>
              <w:rPr>
                <w:color w:val="FF0000"/>
                <w:sz w:val="24"/>
                <w:szCs w:val="24"/>
                <w:lang w:val="en-US"/>
              </w:rPr>
            </w:pPr>
          </w:p>
        </w:tc>
        <w:tc>
          <w:tcPr>
            <w:tcW w:w="2658" w:type="dxa"/>
            <w:shd w:val="clear" w:color="auto" w:fill="FFFFFF"/>
            <w:vAlign w:val="center"/>
          </w:tcPr>
          <w:p w14:paraId="54CDE6DB" w14:textId="77777777" w:rsidR="005173BB" w:rsidRDefault="005173BB">
            <w:pPr>
              <w:jc w:val="center"/>
              <w:rPr>
                <w:color w:val="FF0000"/>
                <w:sz w:val="24"/>
                <w:szCs w:val="24"/>
                <w:lang w:val="en-US"/>
              </w:rPr>
            </w:pPr>
          </w:p>
        </w:tc>
      </w:tr>
      <w:tr w:rsidR="005173BB" w14:paraId="3F459DE0" w14:textId="77777777" w:rsidTr="005173BB">
        <w:trPr>
          <w:trHeight w:val="300"/>
          <w:jc w:val="center"/>
        </w:trPr>
        <w:tc>
          <w:tcPr>
            <w:tcW w:w="4442" w:type="dxa"/>
            <w:shd w:val="clear" w:color="auto" w:fill="FFFFFF"/>
            <w:vAlign w:val="center"/>
            <w:hideMark/>
          </w:tcPr>
          <w:p w14:paraId="74A9A56F" w14:textId="77777777" w:rsidR="005173BB" w:rsidRDefault="005173BB">
            <w:pPr>
              <w:rPr>
                <w:sz w:val="24"/>
                <w:szCs w:val="24"/>
                <w:lang w:val="en-US"/>
              </w:rPr>
            </w:pPr>
            <w:r>
              <w:rPr>
                <w:sz w:val="24"/>
                <w:szCs w:val="24"/>
                <w:lang w:val="en-US"/>
              </w:rPr>
              <w:t> </w:t>
            </w:r>
            <w:r>
              <w:rPr>
                <w:sz w:val="24"/>
                <w:szCs w:val="24"/>
                <w:lang w:val="en-US"/>
              </w:rPr>
              <w:t>Adjusted risk ratio (95% CI)</w:t>
            </w:r>
          </w:p>
        </w:tc>
        <w:tc>
          <w:tcPr>
            <w:tcW w:w="2541" w:type="dxa"/>
            <w:vAlign w:val="center"/>
            <w:hideMark/>
          </w:tcPr>
          <w:p w14:paraId="2B3C873D" w14:textId="77777777" w:rsidR="005173BB" w:rsidRDefault="005173BB">
            <w:pPr>
              <w:jc w:val="center"/>
              <w:rPr>
                <w:color w:val="FF0000"/>
                <w:sz w:val="24"/>
                <w:szCs w:val="24"/>
                <w:lang w:val="en-US"/>
              </w:rPr>
            </w:pPr>
            <w:r>
              <w:rPr>
                <w:sz w:val="24"/>
                <w:szCs w:val="24"/>
                <w:lang w:val="en-US"/>
              </w:rPr>
              <w:t>3.82 (1.42 to 24.26)</w:t>
            </w:r>
          </w:p>
        </w:tc>
        <w:tc>
          <w:tcPr>
            <w:tcW w:w="222" w:type="dxa"/>
            <w:noWrap/>
            <w:vAlign w:val="center"/>
            <w:hideMark/>
          </w:tcPr>
          <w:p w14:paraId="4C1D0900" w14:textId="77777777" w:rsidR="005173BB" w:rsidRDefault="005173BB">
            <w:pPr>
              <w:rPr>
                <w:color w:val="FF0000"/>
                <w:sz w:val="24"/>
                <w:szCs w:val="24"/>
                <w:lang w:val="en-US"/>
              </w:rPr>
            </w:pPr>
          </w:p>
        </w:tc>
        <w:tc>
          <w:tcPr>
            <w:tcW w:w="2658" w:type="dxa"/>
            <w:shd w:val="clear" w:color="auto" w:fill="FFFFFF"/>
            <w:vAlign w:val="center"/>
            <w:hideMark/>
          </w:tcPr>
          <w:p w14:paraId="10EF16AD" w14:textId="77777777" w:rsidR="005173BB" w:rsidRDefault="005173BB">
            <w:pPr>
              <w:jc w:val="center"/>
              <w:rPr>
                <w:sz w:val="24"/>
                <w:szCs w:val="24"/>
                <w:lang w:val="en-US"/>
              </w:rPr>
            </w:pPr>
            <w:r>
              <w:rPr>
                <w:sz w:val="24"/>
                <w:szCs w:val="24"/>
                <w:lang w:val="en-US"/>
              </w:rPr>
              <w:t>7.33 (3.06 to 100.04)</w:t>
            </w:r>
          </w:p>
        </w:tc>
      </w:tr>
      <w:tr w:rsidR="005173BB" w14:paraId="7C5F544B" w14:textId="77777777" w:rsidTr="005173BB">
        <w:trPr>
          <w:trHeight w:val="290"/>
          <w:jc w:val="center"/>
        </w:trPr>
        <w:tc>
          <w:tcPr>
            <w:tcW w:w="4442" w:type="dxa"/>
            <w:tcBorders>
              <w:top w:val="nil"/>
              <w:left w:val="nil"/>
              <w:bottom w:val="dashed" w:sz="4" w:space="0" w:color="auto"/>
              <w:right w:val="nil"/>
            </w:tcBorders>
            <w:shd w:val="clear" w:color="auto" w:fill="FFFFFF"/>
            <w:vAlign w:val="center"/>
            <w:hideMark/>
          </w:tcPr>
          <w:p w14:paraId="6CC66899" w14:textId="77777777" w:rsidR="005173BB" w:rsidRDefault="005173BB">
            <w:pPr>
              <w:rPr>
                <w:sz w:val="24"/>
                <w:szCs w:val="24"/>
                <w:lang w:val="en-US"/>
              </w:rPr>
            </w:pPr>
            <w:r>
              <w:rPr>
                <w:sz w:val="24"/>
                <w:szCs w:val="24"/>
                <w:lang w:val="en-US"/>
              </w:rPr>
              <w:t> </w:t>
            </w:r>
            <w:r>
              <w:rPr>
                <w:sz w:val="24"/>
                <w:szCs w:val="24"/>
                <w:lang w:val="en-US"/>
              </w:rPr>
              <w:t>Adjusted risk difference (95% CI)</w:t>
            </w:r>
          </w:p>
        </w:tc>
        <w:tc>
          <w:tcPr>
            <w:tcW w:w="2541" w:type="dxa"/>
            <w:tcBorders>
              <w:top w:val="nil"/>
              <w:left w:val="nil"/>
              <w:bottom w:val="dashed" w:sz="4" w:space="0" w:color="auto"/>
              <w:right w:val="nil"/>
            </w:tcBorders>
            <w:vAlign w:val="center"/>
            <w:hideMark/>
          </w:tcPr>
          <w:p w14:paraId="12A7A7B3" w14:textId="77777777" w:rsidR="005173BB" w:rsidRDefault="005173BB">
            <w:pPr>
              <w:jc w:val="center"/>
              <w:rPr>
                <w:color w:val="FF0000"/>
                <w:sz w:val="24"/>
                <w:szCs w:val="24"/>
                <w:lang w:val="en-US"/>
              </w:rPr>
            </w:pPr>
            <w:r>
              <w:rPr>
                <w:sz w:val="24"/>
                <w:szCs w:val="24"/>
                <w:lang w:val="en-US"/>
              </w:rPr>
              <w:t>+0.91% (0.46 to 19.84)</w:t>
            </w:r>
          </w:p>
        </w:tc>
        <w:tc>
          <w:tcPr>
            <w:tcW w:w="222" w:type="dxa"/>
            <w:tcBorders>
              <w:top w:val="nil"/>
              <w:left w:val="nil"/>
              <w:bottom w:val="dashed" w:sz="4" w:space="0" w:color="auto"/>
              <w:right w:val="nil"/>
            </w:tcBorders>
            <w:noWrap/>
            <w:vAlign w:val="center"/>
            <w:hideMark/>
          </w:tcPr>
          <w:p w14:paraId="44D94A14" w14:textId="77777777" w:rsidR="005173BB" w:rsidRDefault="005173BB">
            <w:pPr>
              <w:rPr>
                <w:color w:val="FF0000"/>
                <w:sz w:val="24"/>
                <w:szCs w:val="24"/>
                <w:lang w:val="en-US"/>
              </w:rPr>
            </w:pPr>
          </w:p>
        </w:tc>
        <w:tc>
          <w:tcPr>
            <w:tcW w:w="2658" w:type="dxa"/>
            <w:tcBorders>
              <w:top w:val="nil"/>
              <w:left w:val="nil"/>
              <w:bottom w:val="dashed" w:sz="4" w:space="0" w:color="auto"/>
              <w:right w:val="nil"/>
            </w:tcBorders>
            <w:shd w:val="clear" w:color="auto" w:fill="FFFFFF"/>
            <w:vAlign w:val="center"/>
            <w:hideMark/>
          </w:tcPr>
          <w:p w14:paraId="5EFBC91D" w14:textId="77777777" w:rsidR="005173BB" w:rsidRDefault="005173BB">
            <w:pPr>
              <w:jc w:val="center"/>
              <w:rPr>
                <w:sz w:val="24"/>
                <w:szCs w:val="24"/>
                <w:lang w:val="en-US"/>
              </w:rPr>
            </w:pPr>
            <w:r>
              <w:rPr>
                <w:sz w:val="24"/>
                <w:szCs w:val="24"/>
                <w:lang w:val="en-US"/>
              </w:rPr>
              <w:t>+3.74% (2.85 to 50.26)</w:t>
            </w:r>
          </w:p>
        </w:tc>
      </w:tr>
      <w:tr w:rsidR="005173BB" w14:paraId="09E404A9" w14:textId="77777777" w:rsidTr="005173BB">
        <w:trPr>
          <w:trHeight w:val="300"/>
          <w:jc w:val="center"/>
        </w:trPr>
        <w:tc>
          <w:tcPr>
            <w:tcW w:w="4442" w:type="dxa"/>
            <w:shd w:val="clear" w:color="auto" w:fill="FFFFFF"/>
            <w:vAlign w:val="center"/>
            <w:hideMark/>
          </w:tcPr>
          <w:p w14:paraId="7031BDA0" w14:textId="77777777" w:rsidR="005173BB" w:rsidRDefault="005173BB">
            <w:pPr>
              <w:rPr>
                <w:b/>
                <w:bCs/>
                <w:sz w:val="24"/>
                <w:szCs w:val="24"/>
                <w:lang w:val="en-US"/>
              </w:rPr>
            </w:pPr>
            <w:r>
              <w:rPr>
                <w:b/>
                <w:bCs/>
                <w:sz w:val="24"/>
                <w:szCs w:val="24"/>
                <w:lang w:val="en-US"/>
              </w:rPr>
              <w:t>Cancer mortality</w:t>
            </w:r>
          </w:p>
        </w:tc>
        <w:tc>
          <w:tcPr>
            <w:tcW w:w="2541" w:type="dxa"/>
            <w:vAlign w:val="center"/>
          </w:tcPr>
          <w:p w14:paraId="3F44910C" w14:textId="77777777" w:rsidR="005173BB" w:rsidRDefault="005173BB">
            <w:pPr>
              <w:jc w:val="center"/>
              <w:rPr>
                <w:color w:val="FF0000"/>
                <w:sz w:val="24"/>
                <w:szCs w:val="24"/>
                <w:lang w:val="en-US"/>
              </w:rPr>
            </w:pPr>
          </w:p>
        </w:tc>
        <w:tc>
          <w:tcPr>
            <w:tcW w:w="222" w:type="dxa"/>
            <w:noWrap/>
            <w:vAlign w:val="center"/>
            <w:hideMark/>
          </w:tcPr>
          <w:p w14:paraId="447D3ED1" w14:textId="77777777" w:rsidR="005173BB" w:rsidRDefault="005173BB">
            <w:pPr>
              <w:rPr>
                <w:color w:val="FF0000"/>
                <w:sz w:val="24"/>
                <w:szCs w:val="24"/>
                <w:lang w:val="en-US"/>
              </w:rPr>
            </w:pPr>
          </w:p>
        </w:tc>
        <w:tc>
          <w:tcPr>
            <w:tcW w:w="2658" w:type="dxa"/>
            <w:shd w:val="clear" w:color="auto" w:fill="FFFFFF"/>
            <w:vAlign w:val="center"/>
          </w:tcPr>
          <w:p w14:paraId="13DFC061" w14:textId="77777777" w:rsidR="005173BB" w:rsidRDefault="005173BB">
            <w:pPr>
              <w:jc w:val="center"/>
              <w:rPr>
                <w:color w:val="FF0000"/>
                <w:sz w:val="24"/>
                <w:szCs w:val="24"/>
                <w:lang w:val="en-US"/>
              </w:rPr>
            </w:pPr>
          </w:p>
        </w:tc>
      </w:tr>
      <w:tr w:rsidR="005173BB" w14:paraId="28BD0282" w14:textId="77777777" w:rsidTr="005173BB">
        <w:trPr>
          <w:trHeight w:val="300"/>
          <w:jc w:val="center"/>
        </w:trPr>
        <w:tc>
          <w:tcPr>
            <w:tcW w:w="4442" w:type="dxa"/>
            <w:shd w:val="clear" w:color="auto" w:fill="FFFFFF"/>
            <w:vAlign w:val="center"/>
            <w:hideMark/>
          </w:tcPr>
          <w:p w14:paraId="0B937C73" w14:textId="77777777" w:rsidR="005173BB" w:rsidRDefault="005173BB">
            <w:pPr>
              <w:rPr>
                <w:sz w:val="24"/>
                <w:szCs w:val="24"/>
                <w:lang w:val="en-US"/>
              </w:rPr>
            </w:pPr>
            <w:r>
              <w:rPr>
                <w:sz w:val="24"/>
                <w:szCs w:val="24"/>
                <w:lang w:val="en-US"/>
              </w:rPr>
              <w:t> </w:t>
            </w:r>
            <w:r>
              <w:rPr>
                <w:sz w:val="24"/>
                <w:szCs w:val="24"/>
                <w:lang w:val="en-US"/>
              </w:rPr>
              <w:t>Adjusted risk ratio (95% CI)</w:t>
            </w:r>
          </w:p>
        </w:tc>
        <w:tc>
          <w:tcPr>
            <w:tcW w:w="2541" w:type="dxa"/>
            <w:vAlign w:val="center"/>
            <w:hideMark/>
          </w:tcPr>
          <w:p w14:paraId="3419EBF8" w14:textId="77777777" w:rsidR="005173BB" w:rsidRDefault="005173BB">
            <w:pPr>
              <w:jc w:val="center"/>
              <w:rPr>
                <w:color w:val="FF0000"/>
                <w:sz w:val="24"/>
                <w:szCs w:val="24"/>
                <w:lang w:val="en-US"/>
              </w:rPr>
            </w:pPr>
            <w:r>
              <w:rPr>
                <w:sz w:val="24"/>
                <w:szCs w:val="24"/>
                <w:lang w:val="en-US"/>
              </w:rPr>
              <w:t>2.86 (1.07 to 15.31)</w:t>
            </w:r>
          </w:p>
        </w:tc>
        <w:tc>
          <w:tcPr>
            <w:tcW w:w="222" w:type="dxa"/>
            <w:noWrap/>
            <w:vAlign w:val="center"/>
            <w:hideMark/>
          </w:tcPr>
          <w:p w14:paraId="617E58AA" w14:textId="77777777" w:rsidR="005173BB" w:rsidRDefault="005173BB">
            <w:pPr>
              <w:rPr>
                <w:color w:val="FF0000"/>
                <w:sz w:val="24"/>
                <w:szCs w:val="24"/>
                <w:lang w:val="en-US"/>
              </w:rPr>
            </w:pPr>
          </w:p>
        </w:tc>
        <w:tc>
          <w:tcPr>
            <w:tcW w:w="2658" w:type="dxa"/>
            <w:shd w:val="clear" w:color="auto" w:fill="FFFFFF"/>
            <w:vAlign w:val="center"/>
            <w:hideMark/>
          </w:tcPr>
          <w:p w14:paraId="471C6E37" w14:textId="77777777" w:rsidR="005173BB" w:rsidRDefault="005173BB">
            <w:pPr>
              <w:jc w:val="center"/>
              <w:rPr>
                <w:sz w:val="24"/>
                <w:szCs w:val="24"/>
                <w:lang w:val="en-US"/>
              </w:rPr>
            </w:pPr>
            <w:r>
              <w:rPr>
                <w:sz w:val="24"/>
                <w:szCs w:val="24"/>
                <w:lang w:val="en-US"/>
              </w:rPr>
              <w:t>3.23 (0.47 to 34.71)</w:t>
            </w:r>
          </w:p>
        </w:tc>
      </w:tr>
      <w:tr w:rsidR="005173BB" w14:paraId="497F5554" w14:textId="77777777" w:rsidTr="005173BB">
        <w:trPr>
          <w:trHeight w:val="290"/>
          <w:jc w:val="center"/>
        </w:trPr>
        <w:tc>
          <w:tcPr>
            <w:tcW w:w="4442" w:type="dxa"/>
            <w:tcBorders>
              <w:top w:val="nil"/>
              <w:left w:val="nil"/>
              <w:bottom w:val="single" w:sz="4" w:space="0" w:color="auto"/>
              <w:right w:val="nil"/>
            </w:tcBorders>
            <w:shd w:val="clear" w:color="auto" w:fill="FFFFFF"/>
            <w:vAlign w:val="center"/>
            <w:hideMark/>
          </w:tcPr>
          <w:p w14:paraId="7615F67C" w14:textId="77777777" w:rsidR="005173BB" w:rsidRDefault="005173BB">
            <w:pPr>
              <w:rPr>
                <w:sz w:val="24"/>
                <w:szCs w:val="24"/>
                <w:lang w:val="en-US"/>
              </w:rPr>
            </w:pPr>
            <w:r>
              <w:rPr>
                <w:sz w:val="24"/>
                <w:szCs w:val="24"/>
                <w:lang w:val="en-US"/>
              </w:rPr>
              <w:t xml:space="preserve">    Adjusted risk difference (95% CI)</w:t>
            </w:r>
          </w:p>
        </w:tc>
        <w:tc>
          <w:tcPr>
            <w:tcW w:w="2541" w:type="dxa"/>
            <w:tcBorders>
              <w:top w:val="nil"/>
              <w:left w:val="nil"/>
              <w:bottom w:val="single" w:sz="4" w:space="0" w:color="auto"/>
              <w:right w:val="nil"/>
            </w:tcBorders>
            <w:vAlign w:val="center"/>
            <w:hideMark/>
          </w:tcPr>
          <w:p w14:paraId="439DFB44" w14:textId="77777777" w:rsidR="005173BB" w:rsidRDefault="005173BB">
            <w:pPr>
              <w:jc w:val="center"/>
              <w:rPr>
                <w:color w:val="FF0000"/>
                <w:sz w:val="24"/>
                <w:szCs w:val="24"/>
                <w:lang w:val="en-US"/>
              </w:rPr>
            </w:pPr>
            <w:r>
              <w:rPr>
                <w:sz w:val="24"/>
                <w:szCs w:val="24"/>
                <w:lang w:val="en-US"/>
              </w:rPr>
              <w:t>+0.21% (0.08 to 9.42)</w:t>
            </w:r>
          </w:p>
        </w:tc>
        <w:tc>
          <w:tcPr>
            <w:tcW w:w="222" w:type="dxa"/>
            <w:tcBorders>
              <w:top w:val="nil"/>
              <w:left w:val="nil"/>
              <w:bottom w:val="single" w:sz="4" w:space="0" w:color="auto"/>
              <w:right w:val="nil"/>
            </w:tcBorders>
            <w:noWrap/>
            <w:vAlign w:val="center"/>
            <w:hideMark/>
          </w:tcPr>
          <w:p w14:paraId="1EBD423C" w14:textId="77777777" w:rsidR="005173BB" w:rsidRDefault="005173BB">
            <w:pPr>
              <w:rPr>
                <w:color w:val="FF0000"/>
                <w:sz w:val="24"/>
                <w:szCs w:val="24"/>
                <w:lang w:val="en-US"/>
              </w:rPr>
            </w:pPr>
          </w:p>
        </w:tc>
        <w:tc>
          <w:tcPr>
            <w:tcW w:w="2658" w:type="dxa"/>
            <w:tcBorders>
              <w:top w:val="nil"/>
              <w:left w:val="nil"/>
              <w:bottom w:val="single" w:sz="4" w:space="0" w:color="auto"/>
              <w:right w:val="nil"/>
            </w:tcBorders>
            <w:shd w:val="clear" w:color="auto" w:fill="FFFFFF"/>
            <w:vAlign w:val="center"/>
            <w:hideMark/>
          </w:tcPr>
          <w:p w14:paraId="5DA2CC2A" w14:textId="77777777" w:rsidR="005173BB" w:rsidRDefault="005173BB">
            <w:pPr>
              <w:jc w:val="center"/>
              <w:rPr>
                <w:sz w:val="24"/>
                <w:szCs w:val="24"/>
                <w:lang w:val="en-US"/>
              </w:rPr>
            </w:pPr>
            <w:r>
              <w:rPr>
                <w:sz w:val="24"/>
                <w:szCs w:val="24"/>
                <w:lang w:val="en-US"/>
              </w:rPr>
              <w:t>+0.12% (-0.55 to 18.23)</w:t>
            </w:r>
          </w:p>
        </w:tc>
      </w:tr>
    </w:tbl>
    <w:p w14:paraId="34F94AD6" w14:textId="77777777" w:rsidR="005173BB" w:rsidRDefault="005173BB" w:rsidP="005173BB">
      <w:pPr>
        <w:rPr>
          <w:sz w:val="24"/>
          <w:szCs w:val="24"/>
          <w:lang w:val="en-US"/>
        </w:rPr>
      </w:pPr>
      <w:r>
        <w:rPr>
          <w:sz w:val="24"/>
          <w:szCs w:val="24"/>
          <w:vertAlign w:val="superscript"/>
          <w:lang w:val="en-US"/>
        </w:rPr>
        <w:t>a</w:t>
      </w:r>
      <w:r>
        <w:rPr>
          <w:sz w:val="24"/>
          <w:szCs w:val="24"/>
          <w:lang w:val="en-US"/>
        </w:rPr>
        <w:t>200 iterations were performed for bootstrapping the estimates 95% confidence interval</w:t>
      </w:r>
    </w:p>
    <w:p w14:paraId="569C8121"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altName w:val="Gungsuh"/>
    <w:charset w:val="81"/>
    <w:family w:val="roman"/>
    <w:pitch w:val="variable"/>
    <w:sig w:usb0="B00002AF" w:usb1="69D77CFB" w:usb2="00000030" w:usb3="00000000" w:csb0="000800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3BB"/>
    <w:rsid w:val="005173BB"/>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6C506"/>
  <w15:chartTrackingRefBased/>
  <w15:docId w15:val="{C2B0A92E-399B-47D1-92D1-6A4AE0936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3BB"/>
    <w:pPr>
      <w:autoSpaceDE w:val="0"/>
      <w:autoSpaceDN w:val="0"/>
      <w:spacing w:after="0" w:line="240" w:lineRule="auto"/>
    </w:pPr>
    <w:rPr>
      <w:rFonts w:ascii="Times New Roman" w:eastAsia="Times New Roman" w:hAnsi="Times New Roman" w:cs="Times New Roman"/>
      <w:sz w:val="20"/>
      <w:szCs w:val="20"/>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dNoteBibliographyChar">
    <w:name w:val="EndNote Bibliography Char"/>
    <w:basedOn w:val="DefaultParagraphFont"/>
    <w:link w:val="EndNoteBibliography"/>
    <w:locked/>
    <w:rsid w:val="005173BB"/>
    <w:rPr>
      <w:rFonts w:ascii="Times New Roman" w:hAnsi="Times New Roman" w:cs="Times New Roman"/>
      <w:noProof/>
      <w:lang w:val="fr-FR" w:eastAsia="fr-FR"/>
    </w:rPr>
  </w:style>
  <w:style w:type="paragraph" w:customStyle="1" w:styleId="EndNoteBibliography">
    <w:name w:val="EndNote Bibliography"/>
    <w:basedOn w:val="Normal"/>
    <w:link w:val="EndNoteBibliographyChar"/>
    <w:rsid w:val="005173BB"/>
    <w:pPr>
      <w:jc w:val="both"/>
    </w:pPr>
    <w:rPr>
      <w:rFonts w:eastAsiaTheme="minorHAnsi"/>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289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2628</Words>
  <Characters>14986</Characters>
  <Application>Microsoft Office Word</Application>
  <DocSecurity>0</DocSecurity>
  <Lines>124</Lines>
  <Paragraphs>35</Paragraphs>
  <ScaleCrop>false</ScaleCrop>
  <Company/>
  <LinksUpToDate>false</LinksUpToDate>
  <CharactersWithSpaces>17579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2022-03-09T18:37:00Z</dcterms:created>
  <dcterms:modified xsi:type="dcterms:W3CDTF">2022-03-09T18:38:00Z</dcterms:modified>
</cp:coreProperties>
</file>