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Baseline clinical characteristics of study patients who completed 4-month follow-up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21"/>
        <w:gridCol w:w="4621"/>
      </w:tblGrid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Baseline characteristics (</w:t>
            </w:r>
            <w:r>
              <w:rPr>
                <w:rFonts w:ascii="Times New Roman" w:hAnsi="Times New Roman" w:cs="Times New Roman"/>
                <w:b/>
                <w:i/>
              </w:rPr>
              <w:t>n</w:t>
            </w:r>
            <w:r>
              <w:rPr>
                <w:rFonts w:ascii="Times New Roman" w:hAnsi="Times New Roman" w:cs="Times New Roman"/>
                <w:b/>
              </w:rPr>
              <w:t xml:space="preserve"> = 182)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Gender- Male, </w:t>
            </w:r>
            <w:bookmarkStart w:id="0" w:name="OLE_LINK3"/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  <w:bookmarkEnd w:id="0"/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Female,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 (35%)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 (65%)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(years), mean (SD)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47.9 (13.7)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Aura,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 (45%)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Migraine onset age (years), mean (SD)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26.2 (15.2)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chronic migraine (years), mean (SD)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 (5.4)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medication overuse,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(39%)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MHD (days), median (IQR)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(22, 30)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MMD (days), median (IQR)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(13, 25)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HFD (days), median (IQR)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8)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0 baseline HFD,</w:t>
            </w:r>
            <w:r>
              <w:rPr>
                <w:rFonts w:ascii="Times New Roman" w:hAnsi="Times New Roman" w:cs="Times New Roman"/>
                <w:i/>
              </w:rPr>
              <w:t xml:space="preserve"> 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≥1 baseline HFD,</w:t>
            </w:r>
            <w:r>
              <w:rPr>
                <w:rFonts w:ascii="Times New Roman" w:hAnsi="Times New Roman" w:cs="Times New Roman"/>
                <w:i/>
              </w:rPr>
              <w:t xml:space="preserve"> 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(46%)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 (54%)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previous prophylactic treatments failed per patient, median (IQR), range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– 11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Previous prophylactic treatments failures,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≥5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≥6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≥7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 (90%)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159 (87%)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 (74%)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failure,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treatment cycles, median (IQR), range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 (91%)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(5, 7), 3 – 9</w:t>
            </w:r>
          </w:p>
        </w:tc>
      </w:tr>
      <w:tr w:rsidR="005E4942" w:rsidTr="005E4942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by each failed prior prophylactic,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Amitriptyline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Nortriptyline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Venlafaxine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Propanolol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Atenolol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 valproate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Topiramate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Candesartan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Flunarizine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Pizotifen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Gabapentin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Pregabalin</w:t>
            </w:r>
            <w:proofErr w:type="spellEnd"/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Greater occipital nerve block (GONB)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 trigeminal nerve stimulation (</w:t>
            </w:r>
            <w:proofErr w:type="spellStart"/>
            <w:r>
              <w:rPr>
                <w:rFonts w:ascii="Times New Roman" w:hAnsi="Times New Roman" w:cs="Times New Roman"/>
              </w:rPr>
              <w:t>Cefaly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5E4942" w:rsidRDefault="005E4942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 vagal nerve stimulation (</w:t>
            </w:r>
            <w:proofErr w:type="spellStart"/>
            <w:r>
              <w:rPr>
                <w:rFonts w:ascii="Times New Roman" w:hAnsi="Times New Roman" w:cs="Times New Roman"/>
              </w:rPr>
              <w:t>GammaCore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 (91%)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 (90%)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 (8%)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(12%)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 (86%)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 (23%)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 (74%)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 (82%)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 (30%)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(23%)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(14%)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(2%)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2a: Changes in monthly headache days, monthly migraine days, crystal-clear headache-free days, analgesia use and HIT-6 score post-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2235"/>
        <w:gridCol w:w="1984"/>
        <w:gridCol w:w="2126"/>
        <w:gridCol w:w="1701"/>
        <w:gridCol w:w="1276"/>
      </w:tblGrid>
      <w:tr w:rsidR="005E4942" w:rsidTr="005E49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Outcome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Change median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(&lt;0.008)</w:t>
            </w:r>
          </w:p>
        </w:tc>
      </w:tr>
      <w:tr w:rsidR="005E4942" w:rsidTr="005E4942">
        <w:trPr>
          <w:trHeight w:val="29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(22, 30)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(9, 29.5)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(13, 25)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(2, 11)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HFD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8)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(0.5, 21)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AMD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(4.5, 20)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(0, 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TD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(0, 9)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(0, 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 6 score,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(65, 72)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 (48, 61)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-14.5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Median change in MHD, MMD, HFD, AMD, TD and HIT-6 compared using Wilcoxon signed-rank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0.05/6 = 0.008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&lt;0.008.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2b: Numbers and proportions of patients achieving ≥30%, &gt;50% and &gt;75% reductions from baseline monthly headache days and baseline monthly migraine days post-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3369"/>
        <w:gridCol w:w="2976"/>
        <w:gridCol w:w="2977"/>
      </w:tblGrid>
      <w:tr w:rsidR="005E4942" w:rsidTr="005E494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MHD,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MMD,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5E4942" w:rsidTr="005E4942">
        <w:trPr>
          <w:trHeight w:val="29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≥30% reduction from baseline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 (58%)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 (80%)</w:t>
            </w:r>
          </w:p>
        </w:tc>
      </w:tr>
      <w:tr w:rsidR="005E4942" w:rsidTr="005E4942">
        <w:trPr>
          <w:trHeight w:val="38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&gt;50% reduction from baseline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(39%)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 (68%)</w:t>
            </w:r>
          </w:p>
        </w:tc>
      </w:tr>
      <w:tr w:rsidR="005E4942" w:rsidTr="005E494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&gt;75% reduction from baseline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(17%)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 (42%)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2c: Numbers and proportions of patients achieving MHD &lt;15 in any month, MMD &lt;8 in any month, MHD &lt;15 in any month and MMD &lt;8 in any month, and number and proportion of patients with 0 baseline headache-free days achieving ≥1 headache-free days post-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treatment</w:t>
      </w:r>
    </w:p>
    <w:tbl>
      <w:tblPr>
        <w:tblStyle w:val="TableGrid"/>
        <w:tblW w:w="8188" w:type="dxa"/>
        <w:tblInd w:w="0" w:type="dxa"/>
        <w:tblLook w:val="04A0" w:firstRow="1" w:lastRow="0" w:firstColumn="1" w:lastColumn="0" w:noHBand="0" w:noVBand="1"/>
      </w:tblPr>
      <w:tblGrid>
        <w:gridCol w:w="4219"/>
        <w:gridCol w:w="3969"/>
      </w:tblGrid>
      <w:tr w:rsidR="005E4942" w:rsidTr="005E494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Outcome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5E4942" w:rsidTr="005E4942">
        <w:trPr>
          <w:trHeight w:val="29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Patients with 0 baseline HFD who achieved ≥1 HFD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84)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(45%)</w:t>
            </w:r>
          </w:p>
        </w:tc>
      </w:tr>
      <w:tr w:rsidR="005E4942" w:rsidTr="005E4942">
        <w:trPr>
          <w:trHeight w:val="29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&lt;15 in any month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 (45%)</w:t>
            </w:r>
          </w:p>
        </w:tc>
      </w:tr>
      <w:tr w:rsidR="005E4942" w:rsidTr="005E4942">
        <w:trPr>
          <w:trHeight w:val="38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&lt;8 in any month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 (65%)</w:t>
            </w:r>
          </w:p>
        </w:tc>
      </w:tr>
      <w:tr w:rsidR="005E4942" w:rsidTr="005E494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&lt;15 in any month and MMD &lt;8 in any month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 (37%)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3a: Baseline clinical characteristics of patients with and without baseline headache-freedom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652"/>
        <w:gridCol w:w="2267"/>
        <w:gridCol w:w="2267"/>
        <w:gridCol w:w="1056"/>
      </w:tblGrid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Baseline characteristics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0 baseline HFD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84)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≥1 baseline HFD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98)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(&lt;0.003)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Gender- 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Female,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(36%)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 (64%)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(33%)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 (67%)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0.7540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(years), mean (SD)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47.1 (13.8)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48.9 (12.6)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0.3591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Aura,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(45%)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(46%)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1.0000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migraine (years), mean (SD)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25.3 (15.8)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 (14.2)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0.4484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chronic migraine (years), mean (SD)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12.9 (5.1)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11.8 (5.5)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0.1660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MHD (days),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(30, 30)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(19, 25)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MMD (days),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(16, 30)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(10, 19)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HFD (days),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(0, 0)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(5, 11)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previous prophylactic treatments failed per patient,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0.7782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Previous prophylactic treatments failures,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≥5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≥6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(95.2%)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 (91.7%)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 (76.2%)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 (86.7%)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 (83.7%)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(72.4%)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0.0720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0.1215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0.6128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failure,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treatment cycles,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(88%)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 (94%)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0.1963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0.3923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Baseline medication-overuse,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(45%)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(34%)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0.1285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HIT-6 score, median (IQR)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(66, 72)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(65, 71)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0.0311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Inter-group MHD, MMD, HFD and HIT-6 compared using Mann-Whitney U test, continuous variables compared using unpaired Student’s t-test, and dichotomous variables compared using Fisher’s two-tailed exact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0.05/16 = 0.003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&lt;0.003.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3b: Treatment outcomes post-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patients with and without baseline headache-freedom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2518"/>
        <w:gridCol w:w="1843"/>
        <w:gridCol w:w="1843"/>
        <w:gridCol w:w="1984"/>
        <w:gridCol w:w="1134"/>
      </w:tblGrid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182)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0 baseline HFD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84)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≥1 baseline HFD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98)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Inter-group difference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(&lt;0.004)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MHD, median (IQR)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Baseline: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Intra-group median change,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 (30, 30)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(16, 30)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(19, 25)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(4, 16)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-10,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bookmarkStart w:id="1" w:name="OLE_LINK4"/>
            <w:r>
              <w:rPr>
                <w:rFonts w:ascii="Times New Roman" w:hAnsi="Times New Roman" w:cs="Times New Roman"/>
              </w:rPr>
              <w:t xml:space="preserve">Reduction in median: </w:t>
            </w:r>
            <w:bookmarkEnd w:id="1"/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0.0001*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MMD, median (IQR)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Baseline: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Intra-group median change,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(16, 30)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(4, 16)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-12,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(10, 19)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(2, 8)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-8,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Reduction in median: 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0.1478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HFD, median (IQR)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Baseline: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Intra-group median change,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bookmarkStart w:id="2" w:name="OLE_LINK11"/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(0, 0)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(0, 13)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  <w:bookmarkEnd w:id="2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(5, 11)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(14, 25)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Reduction in median: 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HIT-6, median (IQR)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Baseline: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Intra-group median change,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(66, 72)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 (50, 64)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-12,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(65, 71)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 (48, 56)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-16,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Reduction in median: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0.0048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baseline MO achieving MO cessation,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38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(74%)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33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(91%)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0.0730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MHD &lt; 15 in any month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MMD&lt;8 in any month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MHD &lt; 15 in any month and MMD&lt;8 in any month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(23%)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(43%)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(13%)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 (64%)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 (85%)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(57%)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Patients achieving MHD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(40.5%)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(25.0%)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(6.0%)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(72.4%)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 (50%)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(26.5%)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0.0007*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0.0003*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 (72.6%)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(59.5%)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(31.0%)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(85.7%)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(75.5%)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(51.0%)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0.0413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0.0256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0.0069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Treatment outcomes in patients with or without baseline headache-freedom. Intra-group and inter-group MHD, MMD, HFD and HIT-6 comparisons made using Wilcoxon signed-rank test and Mann Whitney U test, respectively. Inter-group comparisons of dichotomous variables made using Fisher’s two-tailed exact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0.05/14 = 0.004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&lt;0.004.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4a: Baseline clinical characteristics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onabotulinumtoxinA</w:t>
      </w:r>
      <w:proofErr w:type="spellEnd"/>
      <w:r>
        <w:rPr>
          <w:rFonts w:ascii="Times New Roman" w:hAnsi="Times New Roman" w:cs="Times New Roman"/>
          <w:sz w:val="24"/>
          <w:szCs w:val="24"/>
        </w:rPr>
        <w:t>-unresponsive patients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4"/>
        <w:gridCol w:w="4536"/>
      </w:tblGrid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Baseline characteristics (</w:t>
            </w:r>
            <w:r>
              <w:rPr>
                <w:rFonts w:ascii="Times New Roman" w:hAnsi="Times New Roman" w:cs="Times New Roman"/>
                <w:b/>
                <w:i/>
              </w:rPr>
              <w:t>n</w:t>
            </w:r>
            <w:r>
              <w:rPr>
                <w:rFonts w:ascii="Times New Roman" w:hAnsi="Times New Roman" w:cs="Times New Roman"/>
                <w:b/>
              </w:rPr>
              <w:t xml:space="preserve"> = 166)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Gender- 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Female,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 (35%)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 (65%)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(years), mean (SD)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48.6 (13.6)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Aura,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 (44%)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migraine (years), mean (SD)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 (15.3)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chronic migraine (years), mean (SD)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 (5.4)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previous prophylactic treatments failed per patient, median (IQR)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Previous prophylactic treatments failures,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≥5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≥6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≥7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 (92%)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 (85%)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 (76%)</w:t>
            </w:r>
          </w:p>
        </w:tc>
      </w:tr>
      <w:tr w:rsidR="005E4942" w:rsidTr="005E4942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Number of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treatment cycles, median (IQR)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Baseline clinical characteristics of </w:t>
      </w:r>
      <w:proofErr w:type="spellStart"/>
      <w:r>
        <w:rPr>
          <w:rFonts w:ascii="Times New Roman" w:hAnsi="Times New Roman" w:cs="Times New Roman"/>
          <w:sz w:val="20"/>
          <w:szCs w:val="20"/>
        </w:rPr>
        <w:t>onabotulinumtoxinA</w:t>
      </w:r>
      <w:proofErr w:type="spellEnd"/>
      <w:r>
        <w:rPr>
          <w:rFonts w:ascii="Times New Roman" w:hAnsi="Times New Roman" w:cs="Times New Roman"/>
          <w:sz w:val="20"/>
          <w:szCs w:val="20"/>
        </w:rPr>
        <w:t>-unresponsive patients.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4b: Treatment outcomes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onabotulinumtoxinA</w:t>
      </w:r>
      <w:proofErr w:type="spellEnd"/>
      <w:r>
        <w:rPr>
          <w:rFonts w:ascii="Times New Roman" w:hAnsi="Times New Roman" w:cs="Times New Roman"/>
          <w:sz w:val="24"/>
          <w:szCs w:val="24"/>
        </w:rPr>
        <w:t>-unresponsive patients</w:t>
      </w:r>
    </w:p>
    <w:tbl>
      <w:tblPr>
        <w:tblStyle w:val="TableGrid"/>
        <w:tblW w:w="9242" w:type="dxa"/>
        <w:tblInd w:w="0" w:type="dxa"/>
        <w:tblLook w:val="04A0" w:firstRow="1" w:lastRow="0" w:firstColumn="1" w:lastColumn="0" w:noHBand="0" w:noVBand="1"/>
      </w:tblPr>
      <w:tblGrid>
        <w:gridCol w:w="3589"/>
        <w:gridCol w:w="1602"/>
        <w:gridCol w:w="1700"/>
        <w:gridCol w:w="1079"/>
        <w:gridCol w:w="1272"/>
      </w:tblGrid>
      <w:tr w:rsidR="005E4942" w:rsidTr="005E4942">
        <w:trPr>
          <w:trHeight w:val="247"/>
        </w:trPr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166)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Change median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(&lt;0.0125)</w:t>
            </w:r>
          </w:p>
        </w:tc>
      </w:tr>
      <w:tr w:rsidR="005E4942" w:rsidTr="005E4942"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(days), median (IQR)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(23, 30)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(9, 30)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(days), median (IQR)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(14, 25)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(2, 11)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HFD (days), median (IQR)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(0, 7)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(0.75, 20.25)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HIT-6 score, median (IQR)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(65, 72)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(48, 61)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5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4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 (57%)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(36%)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(15%)</w:t>
            </w:r>
          </w:p>
        </w:tc>
      </w:tr>
      <w:tr w:rsidR="005E4942" w:rsidTr="005E4942">
        <w:tc>
          <w:tcPr>
            <w:tcW w:w="5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4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 (78%)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 (66%)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 (39%)</w:t>
            </w:r>
          </w:p>
        </w:tc>
      </w:tr>
      <w:tr w:rsidR="005E4942" w:rsidTr="005E4942">
        <w:tc>
          <w:tcPr>
            <w:tcW w:w="5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&lt; 15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 (43%)</w:t>
            </w:r>
          </w:p>
        </w:tc>
      </w:tr>
      <w:tr w:rsidR="005E4942" w:rsidTr="005E4942">
        <w:tc>
          <w:tcPr>
            <w:tcW w:w="5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Patients achieving MMD&lt;8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4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 (63%)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Median change in MHD, MMD, HFD and HIT-6 compared using Wilcoxon signed-rank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0.05/4 = 0.0125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&lt;0.0125.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5a: Clinical characteristics of patients with and without baseline analgesia MO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652"/>
        <w:gridCol w:w="2268"/>
        <w:gridCol w:w="2268"/>
        <w:gridCol w:w="1092"/>
      </w:tblGrid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Baseline characteristics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MO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71)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without MO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111)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(&lt;0.0045)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Gender- 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Female,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(25%)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(75%)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 (75%)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1.0000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(years), mean (SD)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48.4 (12.9)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47.6 (13.5)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0.6920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Aura,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(42%)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 (46%)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0.6470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migraine (years), mean (SD)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26.8 (15.7)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25.8 (14.8)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0.6647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Duration of chronic migraine (years), mean (SD)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 (5.8)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11.9 (5.1)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0.1804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MHD (days), median (IQR)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(24, 30)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(22, 30)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0.5646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MMD (days), median (IQR)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(15, 25.5)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(12, 24)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0.0753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HFD (days), median (IQR)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6)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8)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0.4859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Number of previous prophylactic treatments failed per patient, median (IQR)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 (5, 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(6, 7)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0.3174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failure,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 (90%)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 (92%)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0.7899</w:t>
            </w:r>
          </w:p>
        </w:tc>
      </w:tr>
      <w:tr w:rsidR="005E4942" w:rsidTr="005E494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HIT-6 score, median (IQR)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 (66, 72)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(63, 72)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0.1012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Inter-group MHD, MMD and HFD compared using Mann-Whitney U test, continuous variables compared using unpaired Student’s t-test and dichotomous variables compared using Fisher’s two-tailed exact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0.05/11 = 0.0045 for statistical significance.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5b: Treatment outcomes in patients with baseline MO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1951"/>
        <w:gridCol w:w="1559"/>
        <w:gridCol w:w="1985"/>
        <w:gridCol w:w="2410"/>
        <w:gridCol w:w="1417"/>
      </w:tblGrid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Outcome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71)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Change median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(&lt;0.0125)</w:t>
            </w:r>
          </w:p>
        </w:tc>
      </w:tr>
      <w:tr w:rsidR="005E4942" w:rsidTr="005E4942">
        <w:trPr>
          <w:trHeight w:val="29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(24, 30)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(6.5, 26.5)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(15, 26.5)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 (2, 11)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6)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(3, 22)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HIT-6 score,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 (66, 72)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 (48, 61)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(63%)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(42%)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(21%)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 (86%)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(75%)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(47%)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Patients achieving MHD &lt; 15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(48 %)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MMD&lt;8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 (76%)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with baseline MO reverting to non-MO,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 (82%)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Median change in MHD, MMD, HFD and HIT-6 compared using Wilcoxon signed-rank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0.05/4 = 0.0125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&lt;0.0125.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5c: Treatment outcomes in patients without baseline MO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1951"/>
        <w:gridCol w:w="1559"/>
        <w:gridCol w:w="1985"/>
        <w:gridCol w:w="2410"/>
        <w:gridCol w:w="1417"/>
      </w:tblGrid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Outcome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111)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Post-</w:t>
            </w:r>
            <w:proofErr w:type="spellStart"/>
            <w:r>
              <w:rPr>
                <w:rFonts w:ascii="Times New Roman" w:hAnsi="Times New Roman" w:cs="Times New Roman"/>
              </w:rPr>
              <w:t>fremanezumab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Change median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(&lt;0.0125)</w:t>
            </w:r>
          </w:p>
        </w:tc>
      </w:tr>
      <w:tr w:rsidR="005E4942" w:rsidTr="005E4942">
        <w:trPr>
          <w:trHeight w:val="29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(22, 30)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(9, 30)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(12, 24)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(2, 11)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HFD (days),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(0, 8)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(0, 20.5)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HIT-6 score, median (IQR)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(63, 72)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(48, 63)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(54%)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(36%)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(14%)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Patients achieving MMD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(76%)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(64%)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(39%)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&lt; 15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(43%)</w:t>
            </w:r>
          </w:p>
        </w:tc>
      </w:tr>
      <w:tr w:rsidR="005E4942" w:rsidTr="005E4942">
        <w:trPr>
          <w:trHeight w:val="38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MMD&lt;8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 (59%)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Median change in MHD, MMD, HFD and HIT-6 compared using Wilcoxon signed-rank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0.05/4 = 0.0125 for statistical significance. 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&lt;0.0125.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5d: Treatment outcome comparisons in patients with and without MO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2693"/>
        <w:gridCol w:w="2694"/>
        <w:gridCol w:w="1337"/>
      </w:tblGrid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 MO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71), Change median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Patients without MO (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= 111), Change median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(&lt;0.004)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MHD (days)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-11.5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0.0744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MMD (days)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0.0152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HFD (days)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0.0604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HIT 6 score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-11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0.0951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(63%)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(42%)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(21%)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(54%)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 (36%)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(14%)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0.2232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0.4368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0.3122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Patients achieving MMD reduction of: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≥30%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&gt;50%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&gt;75%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 (86%)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(75%)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(47%)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(76%)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(64%)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(39%)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0.1303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0.1450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0.3557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MHD &lt; 15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(48%)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(43%)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0.5457</w:t>
            </w:r>
          </w:p>
        </w:tc>
      </w:tr>
      <w:tr w:rsidR="005E4942" w:rsidTr="005E4942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achieving MMD&lt;8 in any treatment months, </w:t>
            </w:r>
            <w:r>
              <w:rPr>
                <w:rFonts w:ascii="Times New Roman" w:hAnsi="Times New Roman" w:cs="Times New Roman"/>
                <w:i/>
              </w:rPr>
              <w:t>n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(68%)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 (64%)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0.6356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Inter-group MHD, MMD, HFD and HIT-6 comparisons made using Mann-Whitney U test. Inter-group comparisons for percentages and numbers of patients achieving MHD&lt;15 in any treatment month, MMD&lt;8 in any treatment month, and ≥30%, 50% and 75% MHD and MMD reduction from baseline made using Fisher’s two-tailed exact test. </w:t>
      </w:r>
      <w:proofErr w:type="spellStart"/>
      <w:r>
        <w:rPr>
          <w:rFonts w:ascii="Times New Roman" w:hAnsi="Times New Roman" w:cs="Times New Roman"/>
          <w:sz w:val="20"/>
          <w:szCs w:val="20"/>
        </w:rPr>
        <w:t>Bonferroni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correction for multiple comparisons set at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&lt; 0.05/12 = 0.004 for statistical significance.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6a: Univariate and multivariate logistic regression analysis of patient factors associated with achieving ≥30% MMD reduction from baseline post-treatment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continuation</w:t>
      </w:r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2050"/>
        <w:gridCol w:w="2169"/>
        <w:gridCol w:w="1430"/>
        <w:gridCol w:w="2397"/>
        <w:gridCol w:w="1276"/>
      </w:tblGrid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factor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 in univariate analysis (95% CI)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(&lt;0.05)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 in multivariate analysis (95% CI)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(&lt;0.05)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 gender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1.384 (0.600 – 3.056)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0.4299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1.012 (0.985 – 1.041)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0.3849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Migraine onset age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0.998 (0.971 – 1.028)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0.9094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migraine duration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1.106 (0.988 – 1.048)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0.2889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Chronic migraine duration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0.967 (0.906 – 1.036)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0.3186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HFD ≥1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4.697 (2.110 – 11.32)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0.0003*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2.789 (1.032 – 7.883)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0.0461*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MMD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0.913 (0.864 – 0.959)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0.0006*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0.972 (0.908 – 1.037)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0.3971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≥1 previous prophylactics 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0.963 (0.714 – 1.312)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0.8059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Previous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1.805 (0.476 – 11.81)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0.4481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Medication overuse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0.4725 (0.197 – 1.049)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0.0761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AMD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1.042 (1.000 – 1.090)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0.0655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TD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1.024 (0.967 – 1.093)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0.4365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HIT-6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0.886 (0.823 – 0.947)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0.0007*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0.918 (0.848 – 0.989)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0.0282*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&lt;0.05.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6b: Univariate and multivariate logistic regression analysis of patient factors associated with achieving MHD &lt;15 days/month in any treatment month post-</w:t>
      </w:r>
      <w:proofErr w:type="spellStart"/>
      <w:r>
        <w:rPr>
          <w:rFonts w:ascii="Times New Roman" w:hAnsi="Times New Roman" w:cs="Times New Roman"/>
          <w:sz w:val="24"/>
          <w:szCs w:val="24"/>
        </w:rPr>
        <w:t>fremanezumab</w:t>
      </w:r>
      <w:proofErr w:type="spellEnd"/>
    </w:p>
    <w:tbl>
      <w:tblPr>
        <w:tblStyle w:val="TableGrid"/>
        <w:tblW w:w="9322" w:type="dxa"/>
        <w:tblInd w:w="0" w:type="dxa"/>
        <w:tblLook w:val="04A0" w:firstRow="1" w:lastRow="0" w:firstColumn="1" w:lastColumn="0" w:noHBand="0" w:noVBand="1"/>
      </w:tblPr>
      <w:tblGrid>
        <w:gridCol w:w="2050"/>
        <w:gridCol w:w="2169"/>
        <w:gridCol w:w="1430"/>
        <w:gridCol w:w="2397"/>
        <w:gridCol w:w="1276"/>
      </w:tblGrid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Patient factor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 in univariate analysis (95% CI)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 in multivariate analysis (95% CI)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 gender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1.465 (0.756 – 2.890)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0.2628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1.028 (1.005 – 1.052)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0.0168*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1.024 (0.998 – 1.051)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0.0798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Migraine onset age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1.021 (0.998 – 1.045)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0.0733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migraine duration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1.009 (0.988 – 1.032)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0.4048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Chronic migraine duration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1.016 (0.962 – 1.074)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0.5674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HFD ≥1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9.857 (4.963 – 20.68)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4.564 (2.032 – 10.67)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0.0003*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MMD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0.889 (0.849 – 0.926)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0.923 (0.868 – 0.978)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0.008*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≥1 previous prophylactics 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0.891 (0.697 – 1.132)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0.3492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Previous </w:t>
            </w:r>
            <w:proofErr w:type="spellStart"/>
            <w:r>
              <w:rPr>
                <w:rFonts w:ascii="Times New Roman" w:hAnsi="Times New Roman" w:cs="Times New Roman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1.383 (0.505 – 3.855)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0.5249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Medication overuse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0.9368 (0.516 – 1.701)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0.8296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AMD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1.015 (0.985 – 1.048)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0.3311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TD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1.076 (1.027 – 1.131)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0.0028*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1.051 (0.997 – 1.111)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0.068</w:t>
            </w:r>
          </w:p>
        </w:tc>
      </w:tr>
      <w:tr w:rsidR="005E4942" w:rsidTr="005E4942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Baseline HIT-6 (as continuous variable)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0.924 (0.880 – 0.967)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0.001*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0.982 (0.923 – 1.044)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0.5687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 denotes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>&lt;0.05.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7a: Comparison between Hull experience and salient randomised-controlled studies of anti-CGRP monoclonal antibodies in chronic migraine</w:t>
      </w:r>
    </w:p>
    <w:tbl>
      <w:tblPr>
        <w:tblStyle w:val="TableGrid"/>
        <w:tblpPr w:leftFromText="180" w:rightFromText="180" w:vertAnchor="page" w:horzAnchor="margin" w:tblpX="-152" w:tblpY="291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417"/>
        <w:gridCol w:w="1418"/>
        <w:gridCol w:w="1417"/>
        <w:gridCol w:w="1276"/>
        <w:gridCol w:w="1276"/>
      </w:tblGrid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 experience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182)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HALO CM, monthly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(6, 17)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379)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HALO CM, quarterly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(6, 17)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376)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FOCUS, monthly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(18, 23)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283)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CONQUER (19, 24)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95)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REGAIN (20)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555)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Real-world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 vs placebo (DB phase)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 vs placebo (DB phase)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 (3 months DB phase)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 (3 months DB phase)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Migraine type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Mixed (61% CM, 39% EM)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Anti-CGRP therapy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Galcanezumab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Galcanezumab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 monthly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278)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 monthly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277)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 of prior prophylactic agents failed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Median 6 (≥3)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≤1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2–4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2–4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≤3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OnabotulinumtoxinA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failure,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91%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Follow-up duration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months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weeks post-first dose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weeks post-first dose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months post-first dose (DB)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months post-first dose (DB)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MHD, days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Headache days of ≥ moderate severity: 12.7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mg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21.2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21.4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MMD, days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120mg: 19.4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19.2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MHD reduction, days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 vs placebo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MMD reduction, days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 (3.5 vs placebo)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 subgroup analysis: 3.8 vs placebo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120mg: 4.8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4.6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AMD reduction, days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120mg: 4.7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4.3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HIT-6 reduction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&gt;30% MHD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&gt;50% MHD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&gt;75% MHD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&gt;30% MMD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&gt;50% MMD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Post-hoc: 59%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Post-hoc: 53%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36%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120mg: 28%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28%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&gt;75% MMD responders,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Post-hoc: 22%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Post-hoc: 17%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12%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120mg: 7%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240mg: 9%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CM- chronic migraine; DB- double blind; EM- episodic migraine; OLE- open-label extension; RCT- randomised control trial.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7b: Comparison between Hull experience and other salient real-world or open-label extension studies of anti-CGRP monoclonal antibodies in chronic migraine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992"/>
        <w:gridCol w:w="1134"/>
        <w:gridCol w:w="1134"/>
        <w:gridCol w:w="1134"/>
      </w:tblGrid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 experience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182)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Cohen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(12)- abstract data, CM patients 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587)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FOCUS, OLE phase (19)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274)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Lambru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et 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(20)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164)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GARLIT (22)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130)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CONQUER OLE phase (24), CM patients 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193)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REGAIN (25)- abstract data, CM patients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1022)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Study type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Real-world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Real-world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RCT- 3 months OLE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Real-world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Real-world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RCT- 3 months OLE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RCT- 9 months OLE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Migraine type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Mixed (61% CM, 39% EM)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Anti-CGRP therapy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Fremanezumab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Erenumab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Galcanezumab</w:t>
            </w:r>
            <w:proofErr w:type="spellEnd"/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Galcanezumab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Galcanezumab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120mg or 240mg monthly flexible dosing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No. of prior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prophylactic agents failed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Median 6 (≥3)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2–4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8.4 (≥3)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≤5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2–4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≤3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OnabotulinumtoxinA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failure,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Follow-up duration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months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weeks post-first dose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months post-first dose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months post-first dose (OLE)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months post-first dose (OLE)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MHD, days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Headache days of ≥ moderate severity: 12.7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20.4–21.5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19.4 overall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MMD, days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18.1–19.2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MHD reduction, days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4.5–5.2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6.3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6.6–8.3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6.5–7.3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12m: 8.0–9.0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MMD reduction, days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4.7–5.5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6.0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7.5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12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6.5–8.2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AMD reduction, days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3.3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4.0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5.1–7.0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HIT-6 reduction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7.7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7.5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12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&gt;30% MHD 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&gt;50% MHD 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45–46%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12m:53–57% 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&gt;75% MHD 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&gt;30% MMD 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49%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&gt;50% MMD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38–46%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35%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38%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67%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64%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39–48%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E4942" w:rsidTr="005E4942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&gt;75% MMD responders,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16–20%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13%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22%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3m: 33%</w:t>
            </w:r>
          </w:p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38%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6m: 19–25%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942" w:rsidRDefault="005E49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CM- chronic migraine; DB- double blind; m- months; OLE- open-label extension; RCT- randomised control trial.</w:t>
      </w: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4942" w:rsidRDefault="005E4942" w:rsidP="005E494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D1398" w:rsidRDefault="00AD1398">
      <w:bookmarkStart w:id="3" w:name="_GoBack"/>
      <w:bookmarkEnd w:id="3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7627D"/>
    <w:multiLevelType w:val="hybridMultilevel"/>
    <w:tmpl w:val="50DA0D14"/>
    <w:lvl w:ilvl="0" w:tplc="D5CC9890">
      <w:start w:val="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942"/>
    <w:rsid w:val="005E494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831470-37C7-4105-BCA3-60D2E8CD1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942"/>
    <w:pPr>
      <w:spacing w:after="200" w:line="276" w:lineRule="auto"/>
    </w:pPr>
    <w:rPr>
      <w:rFonts w:eastAsiaTheme="minorEastAsia"/>
      <w:lang w:val="en-GB" w:eastAsia="zh-CN"/>
    </w:rPr>
  </w:style>
  <w:style w:type="paragraph" w:styleId="Heading1">
    <w:name w:val="heading 1"/>
    <w:basedOn w:val="Normal"/>
    <w:link w:val="Heading1Char"/>
    <w:uiPriority w:val="9"/>
    <w:qFormat/>
    <w:rsid w:val="005E49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942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zh-CN"/>
    </w:rPr>
  </w:style>
  <w:style w:type="character" w:styleId="Hyperlink">
    <w:name w:val="Hyperlink"/>
    <w:basedOn w:val="DefaultParagraphFont"/>
    <w:uiPriority w:val="99"/>
    <w:semiHidden/>
    <w:unhideWhenUsed/>
    <w:rsid w:val="005E494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4942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5E4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494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4942"/>
    <w:rPr>
      <w:rFonts w:eastAsiaTheme="minorEastAsia"/>
      <w:sz w:val="20"/>
      <w:szCs w:val="20"/>
      <w:lang w:val="en-GB"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5E49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4942"/>
    <w:rPr>
      <w:rFonts w:eastAsiaTheme="minorEastAsia"/>
      <w:lang w:val="en-GB"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5E49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4942"/>
    <w:rPr>
      <w:rFonts w:eastAsiaTheme="minorEastAsia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4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942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ListParagraph">
    <w:name w:val="List Paragraph"/>
    <w:basedOn w:val="Normal"/>
    <w:uiPriority w:val="34"/>
    <w:qFormat/>
    <w:rsid w:val="005E4942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5E4942"/>
    <w:pPr>
      <w:spacing w:after="160" w:line="256" w:lineRule="auto"/>
    </w:pPr>
    <w:rPr>
      <w:rFonts w:eastAsiaTheme="minorHAns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5E4942"/>
    <w:rPr>
      <w:vertAlign w:val="superscript"/>
    </w:rPr>
  </w:style>
  <w:style w:type="character" w:customStyle="1" w:styleId="cit">
    <w:name w:val="cit"/>
    <w:basedOn w:val="DefaultParagraphFont"/>
    <w:rsid w:val="005E4942"/>
  </w:style>
  <w:style w:type="character" w:customStyle="1" w:styleId="ref-journal">
    <w:name w:val="ref-journal"/>
    <w:basedOn w:val="DefaultParagraphFont"/>
    <w:rsid w:val="005E4942"/>
  </w:style>
  <w:style w:type="character" w:customStyle="1" w:styleId="ref-vol">
    <w:name w:val="ref-vol"/>
    <w:basedOn w:val="DefaultParagraphFont"/>
    <w:rsid w:val="005E4942"/>
  </w:style>
  <w:style w:type="character" w:customStyle="1" w:styleId="u-visually-hidden">
    <w:name w:val="u-visually-hidden"/>
    <w:basedOn w:val="DefaultParagraphFont"/>
    <w:rsid w:val="005E4942"/>
  </w:style>
  <w:style w:type="character" w:customStyle="1" w:styleId="cit-auth">
    <w:name w:val="cit-auth"/>
    <w:basedOn w:val="DefaultParagraphFont"/>
    <w:rsid w:val="005E4942"/>
  </w:style>
  <w:style w:type="character" w:customStyle="1" w:styleId="cit-name-surname">
    <w:name w:val="cit-name-surname"/>
    <w:basedOn w:val="DefaultParagraphFont"/>
    <w:rsid w:val="005E4942"/>
  </w:style>
  <w:style w:type="character" w:customStyle="1" w:styleId="cit-name-given-names">
    <w:name w:val="cit-name-given-names"/>
    <w:basedOn w:val="DefaultParagraphFont"/>
    <w:rsid w:val="005E4942"/>
  </w:style>
  <w:style w:type="character" w:customStyle="1" w:styleId="cit-article-title">
    <w:name w:val="cit-article-title"/>
    <w:basedOn w:val="DefaultParagraphFont"/>
    <w:rsid w:val="005E4942"/>
  </w:style>
  <w:style w:type="character" w:customStyle="1" w:styleId="cit-pub-date">
    <w:name w:val="cit-pub-date"/>
    <w:basedOn w:val="DefaultParagraphFont"/>
    <w:rsid w:val="005E4942"/>
  </w:style>
  <w:style w:type="character" w:customStyle="1" w:styleId="cit-vol">
    <w:name w:val="cit-vol"/>
    <w:basedOn w:val="DefaultParagraphFont"/>
    <w:rsid w:val="005E4942"/>
  </w:style>
  <w:style w:type="character" w:customStyle="1" w:styleId="cit-fpage">
    <w:name w:val="cit-fpage"/>
    <w:basedOn w:val="DefaultParagraphFont"/>
    <w:rsid w:val="005E4942"/>
  </w:style>
  <w:style w:type="character" w:customStyle="1" w:styleId="cit-lpage">
    <w:name w:val="cit-lpage"/>
    <w:basedOn w:val="DefaultParagraphFont"/>
    <w:rsid w:val="005E4942"/>
  </w:style>
  <w:style w:type="character" w:customStyle="1" w:styleId="cit-etal">
    <w:name w:val="cit-etal"/>
    <w:basedOn w:val="DefaultParagraphFont"/>
    <w:rsid w:val="005E4942"/>
  </w:style>
  <w:style w:type="table" w:styleId="TableGrid">
    <w:name w:val="Table Grid"/>
    <w:basedOn w:val="TableNormal"/>
    <w:uiPriority w:val="59"/>
    <w:rsid w:val="005E4942"/>
    <w:pPr>
      <w:spacing w:after="0" w:line="240" w:lineRule="auto"/>
    </w:pPr>
    <w:rPr>
      <w:rFonts w:eastAsiaTheme="minorEastAsia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9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2878</Words>
  <Characters>16405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2022-02-15T13:54:00Z</dcterms:created>
  <dcterms:modified xsi:type="dcterms:W3CDTF">2022-02-15T13:54:00Z</dcterms:modified>
</cp:coreProperties>
</file>