
<file path=[Content_Types].xml><?xml version="1.0" encoding="utf-8"?>
<Types xmlns="http://schemas.openxmlformats.org/package/2006/content-types">
  <Default Extension="tiff" ContentType="image/tiff"/>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7136" w:rsidRPr="00855F74" w:rsidRDefault="00BD7136" w:rsidP="00BD7136">
      <w:pPr>
        <w:spacing w:line="480" w:lineRule="auto"/>
        <w:rPr>
          <w:lang w:val="en-US"/>
        </w:rPr>
      </w:pPr>
      <w:r w:rsidRPr="0059161D">
        <w:rPr>
          <w:b/>
          <w:bCs/>
          <w:lang w:val="en-US"/>
        </w:rPr>
        <w:t>Supplementa</w:t>
      </w:r>
      <w:r>
        <w:rPr>
          <w:b/>
          <w:bCs/>
          <w:lang w:val="en-US"/>
        </w:rPr>
        <w:t>ry material (</w:t>
      </w:r>
      <w:r w:rsidR="007277EF">
        <w:rPr>
          <w:b/>
          <w:bCs/>
          <w:lang w:val="en-US"/>
        </w:rPr>
        <w:t>1</w:t>
      </w:r>
      <w:r>
        <w:rPr>
          <w:b/>
          <w:bCs/>
          <w:lang w:val="en-US"/>
        </w:rPr>
        <w:t xml:space="preserve"> Figure, Extended Discussion and </w:t>
      </w:r>
      <w:r w:rsidR="007277EF">
        <w:rPr>
          <w:b/>
          <w:bCs/>
          <w:lang w:val="en-US"/>
        </w:rPr>
        <w:t>1</w:t>
      </w:r>
      <w:r>
        <w:rPr>
          <w:b/>
          <w:bCs/>
          <w:lang w:val="en-US"/>
        </w:rPr>
        <w:t xml:space="preserve"> Table)</w:t>
      </w:r>
    </w:p>
    <w:p w:rsidR="00BD7136" w:rsidRPr="0059161D" w:rsidRDefault="00BD7136" w:rsidP="00BD7136">
      <w:pPr>
        <w:spacing w:line="480" w:lineRule="auto"/>
        <w:jc w:val="both"/>
        <w:rPr>
          <w:lang w:val="en-US"/>
        </w:rPr>
      </w:pPr>
      <w:r>
        <w:rPr>
          <w:noProof/>
          <w:lang w:val="en-US"/>
        </w:rPr>
        <w:drawing>
          <wp:inline distT="0" distB="0" distL="0" distR="0">
            <wp:extent cx="5270500" cy="5010150"/>
            <wp:effectExtent l="25400" t="0" r="0" b="0"/>
            <wp:docPr id="1" name="Picture 0" descr="Fig 1_SUPP_TIFF_Labeled.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1_SUPP_TIFF_Labeled.tiff"/>
                    <pic:cNvPicPr/>
                  </pic:nvPicPr>
                  <pic:blipFill>
                    <a:blip r:embed="rId4"/>
                    <a:stretch>
                      <a:fillRect/>
                    </a:stretch>
                  </pic:blipFill>
                  <pic:spPr>
                    <a:xfrm>
                      <a:off x="0" y="0"/>
                      <a:ext cx="5270500" cy="5010150"/>
                    </a:xfrm>
                    <a:prstGeom prst="rect">
                      <a:avLst/>
                    </a:prstGeom>
                  </pic:spPr>
                </pic:pic>
              </a:graphicData>
            </a:graphic>
          </wp:inline>
        </w:drawing>
      </w:r>
    </w:p>
    <w:p w:rsidR="00BD7136" w:rsidRPr="0059161D" w:rsidRDefault="00BD7136" w:rsidP="00BD7136">
      <w:pPr>
        <w:spacing w:line="480" w:lineRule="auto"/>
        <w:rPr>
          <w:b/>
          <w:lang w:val="en-US"/>
        </w:rPr>
      </w:pPr>
      <w:r>
        <w:rPr>
          <w:b/>
          <w:bCs/>
          <w:lang w:val="en-US"/>
        </w:rPr>
        <w:t>Legend</w:t>
      </w:r>
      <w:r w:rsidRPr="0059161D">
        <w:rPr>
          <w:b/>
          <w:bCs/>
          <w:lang w:val="en-US"/>
        </w:rPr>
        <w:t xml:space="preserve"> for Supplementa</w:t>
      </w:r>
      <w:r>
        <w:rPr>
          <w:b/>
          <w:bCs/>
          <w:lang w:val="en-US"/>
        </w:rPr>
        <w:t>ry Figure</w:t>
      </w:r>
      <w:r w:rsidRPr="0059161D">
        <w:rPr>
          <w:b/>
          <w:bCs/>
          <w:lang w:val="en-US"/>
        </w:rPr>
        <w:t xml:space="preserve"> (Fig. S1)</w:t>
      </w:r>
    </w:p>
    <w:p w:rsidR="00BD7136" w:rsidRPr="0059161D" w:rsidRDefault="00BD7136" w:rsidP="00BD7136">
      <w:pPr>
        <w:spacing w:line="480" w:lineRule="auto"/>
        <w:rPr>
          <w:lang w:val="en-US"/>
        </w:rPr>
      </w:pPr>
    </w:p>
    <w:p w:rsidR="00BD7136" w:rsidRPr="0059161D" w:rsidRDefault="00BD7136" w:rsidP="00BD7136">
      <w:pPr>
        <w:spacing w:line="480" w:lineRule="auto"/>
        <w:jc w:val="both"/>
        <w:rPr>
          <w:lang w:val="en-US"/>
        </w:rPr>
      </w:pPr>
      <w:r w:rsidRPr="0059161D">
        <w:rPr>
          <w:b/>
          <w:bCs/>
          <w:lang w:val="en-US"/>
        </w:rPr>
        <w:t>Fig. S1:</w:t>
      </w:r>
      <w:r w:rsidRPr="0059161D">
        <w:rPr>
          <w:b/>
          <w:lang w:val="en-US"/>
        </w:rPr>
        <w:t xml:space="preserve"> </w:t>
      </w:r>
      <w:r w:rsidRPr="0059161D">
        <w:rPr>
          <w:lang w:val="en-US"/>
        </w:rPr>
        <w:t xml:space="preserve">Three different concentrations of </w:t>
      </w:r>
      <w:r w:rsidRPr="0059161D">
        <w:rPr>
          <w:rFonts w:cs="Times"/>
          <w:lang w:val="en-US"/>
        </w:rPr>
        <w:t>α</w:t>
      </w:r>
      <w:r w:rsidRPr="0059161D">
        <w:rPr>
          <w:lang w:val="en-US"/>
        </w:rPr>
        <w:t>-syn</w:t>
      </w:r>
      <w:r w:rsidRPr="0059161D">
        <w:rPr>
          <w:vertAlign w:val="subscript"/>
          <w:lang w:val="en-US"/>
        </w:rPr>
        <w:t xml:space="preserve">M </w:t>
      </w:r>
      <w:r w:rsidRPr="0059161D">
        <w:rPr>
          <w:lang w:val="en-US"/>
        </w:rPr>
        <w:t xml:space="preserve">were found to induce inward currents in LDT cells, which were associated with a conductance change. A) Sample membrane responses to </w:t>
      </w:r>
      <w:r w:rsidRPr="0059161D">
        <w:rPr>
          <w:rFonts w:cs="Times"/>
          <w:lang w:val="en-US"/>
        </w:rPr>
        <w:t>α</w:t>
      </w:r>
      <w:r w:rsidRPr="0059161D">
        <w:rPr>
          <w:lang w:val="en-US"/>
        </w:rPr>
        <w:t>-syn</w:t>
      </w:r>
      <w:r w:rsidRPr="0059161D">
        <w:rPr>
          <w:vertAlign w:val="subscript"/>
          <w:lang w:val="en-US"/>
        </w:rPr>
        <w:t>M</w:t>
      </w:r>
      <w:r w:rsidRPr="0059161D">
        <w:rPr>
          <w:lang w:val="en-US"/>
        </w:rPr>
        <w:t xml:space="preserve"> at two concentrations that induced inward currents in LDT neurons.  While inward currents were detectable in </w:t>
      </w:r>
      <w:r w:rsidRPr="001A5E04">
        <w:rPr>
          <w:color w:val="000000" w:themeColor="text1"/>
          <w:lang w:val="en-US"/>
        </w:rPr>
        <w:t xml:space="preserve">response to 70 nM and 100 nM </w:t>
      </w:r>
      <w:r w:rsidRPr="001A5E04">
        <w:rPr>
          <w:rFonts w:cs="Times"/>
          <w:color w:val="000000" w:themeColor="text1"/>
          <w:lang w:val="en-US"/>
        </w:rPr>
        <w:t>α</w:t>
      </w:r>
      <w:r w:rsidRPr="001A5E04">
        <w:rPr>
          <w:color w:val="000000" w:themeColor="text1"/>
          <w:lang w:val="en-US"/>
        </w:rPr>
        <w:t>-syn</w:t>
      </w:r>
      <w:r w:rsidRPr="001A5E04">
        <w:rPr>
          <w:color w:val="000000" w:themeColor="text1"/>
          <w:vertAlign w:val="subscript"/>
          <w:lang w:val="en-US"/>
        </w:rPr>
        <w:t>M</w:t>
      </w:r>
      <w:r w:rsidRPr="001A5E04">
        <w:rPr>
          <w:color w:val="000000" w:themeColor="text1"/>
          <w:lang w:val="en-US"/>
        </w:rPr>
        <w:t>, the majority of our data are collected using a concentration of 100 nM, which had been used by others</w:t>
      </w:r>
      <w:r>
        <w:rPr>
          <w:color w:val="000000" w:themeColor="text1"/>
          <w:vertAlign w:val="superscript"/>
          <w:lang w:val="en-US"/>
        </w:rPr>
        <w:t xml:space="preserve"> </w:t>
      </w:r>
      <w:r>
        <w:rPr>
          <w:color w:val="000000" w:themeColor="text1"/>
          <w:lang w:val="en-US"/>
        </w:rPr>
        <w:t>(Miranov et al., 2015)</w:t>
      </w:r>
      <w:r w:rsidRPr="001A5E04">
        <w:rPr>
          <w:color w:val="000000" w:themeColor="text1"/>
          <w:lang w:val="en-US"/>
        </w:rPr>
        <w:t>. (B) Plotted are the mean values and S.E.M of the amplitude of the inward current induced by α-syn</w:t>
      </w:r>
      <w:r>
        <w:rPr>
          <w:color w:val="000000" w:themeColor="text1"/>
          <w:vertAlign w:val="subscript"/>
          <w:lang w:val="en-US"/>
        </w:rPr>
        <w:t xml:space="preserve">M </w:t>
      </w:r>
      <w:r w:rsidRPr="001A5E04">
        <w:rPr>
          <w:color w:val="000000" w:themeColor="text1"/>
          <w:lang w:val="en-US"/>
        </w:rPr>
        <w:t xml:space="preserve">at a concentration of 70 nM (n = 3), 100 nM (n = 35), and 500 nM (n = 4) which showed a correlation with response amplitudes (one-way ANOVA; </w:t>
      </w:r>
      <w:r w:rsidRPr="001A5E04">
        <w:rPr>
          <w:i/>
          <w:color w:val="000000" w:themeColor="text1"/>
          <w:lang w:val="en-US"/>
        </w:rPr>
        <w:t>F</w:t>
      </w:r>
      <w:r w:rsidRPr="001A5E04">
        <w:rPr>
          <w:color w:val="000000" w:themeColor="text1"/>
          <w:lang w:val="en-US"/>
        </w:rPr>
        <w:t xml:space="preserve">(39) = 693.1; </w:t>
      </w:r>
      <w:r w:rsidRPr="001A5E04">
        <w:rPr>
          <w:i/>
          <w:color w:val="000000" w:themeColor="text1"/>
          <w:lang w:val="en-US"/>
        </w:rPr>
        <w:t>p</w:t>
      </w:r>
      <w:r w:rsidRPr="001A5E04">
        <w:rPr>
          <w:color w:val="000000" w:themeColor="text1"/>
          <w:lang w:val="en-US"/>
        </w:rPr>
        <w:t xml:space="preserve"> &lt; 0.0001).  While there was not a significant difference between 70 nM and 100 nM (</w:t>
      </w:r>
      <w:r w:rsidRPr="001A5E04">
        <w:rPr>
          <w:i/>
          <w:color w:val="000000" w:themeColor="text1"/>
          <w:lang w:val="en-US"/>
        </w:rPr>
        <w:t>p</w:t>
      </w:r>
      <w:r w:rsidRPr="001A5E04">
        <w:rPr>
          <w:color w:val="000000" w:themeColor="text1"/>
          <w:lang w:val="en-US"/>
        </w:rPr>
        <w:t xml:space="preserve"> = 0.9509), </w:t>
      </w:r>
      <w:r w:rsidRPr="001A5E04">
        <w:rPr>
          <w:i/>
          <w:color w:val="000000" w:themeColor="text1"/>
          <w:lang w:val="en-US"/>
        </w:rPr>
        <w:t>post hoc</w:t>
      </w:r>
      <w:r w:rsidRPr="001A5E04">
        <w:rPr>
          <w:color w:val="000000" w:themeColor="text1"/>
          <w:lang w:val="en-US"/>
        </w:rPr>
        <w:t xml:space="preserve"> testing did indicate</w:t>
      </w:r>
      <w:r w:rsidRPr="0059161D">
        <w:rPr>
          <w:lang w:val="en-US"/>
        </w:rPr>
        <w:t xml:space="preserve"> a significance between 70 nM and 500 nM (</w:t>
      </w:r>
      <w:r w:rsidRPr="00F310CD">
        <w:rPr>
          <w:i/>
          <w:lang w:val="en-US"/>
        </w:rPr>
        <w:t>p</w:t>
      </w:r>
      <w:r w:rsidRPr="0059161D">
        <w:rPr>
          <w:lang w:val="en-US"/>
        </w:rPr>
        <w:t xml:space="preserve"> &lt; 0.0001), and between 100 nM and 500 nM  (</w:t>
      </w:r>
      <w:r w:rsidRPr="00F310CD">
        <w:rPr>
          <w:i/>
          <w:lang w:val="en-US"/>
        </w:rPr>
        <w:t>p</w:t>
      </w:r>
      <w:r w:rsidRPr="0059161D">
        <w:rPr>
          <w:lang w:val="en-US"/>
        </w:rPr>
        <w:t xml:space="preserve"> &lt; 0.0001; **** indicates </w:t>
      </w:r>
      <w:r w:rsidRPr="00F310CD">
        <w:rPr>
          <w:i/>
          <w:lang w:val="en-US"/>
        </w:rPr>
        <w:t>p</w:t>
      </w:r>
      <w:r w:rsidR="00E515D1">
        <w:rPr>
          <w:lang w:val="en-US"/>
        </w:rPr>
        <w:t xml:space="preserve"> &lt; 0.0001). </w:t>
      </w:r>
      <w:r w:rsidRPr="0059161D">
        <w:rPr>
          <w:lang w:val="en-US"/>
        </w:rPr>
        <w:t xml:space="preserve">C) In some recordings, current-voltage relationships were generated by stepping the membrane in 200 ms duration epochs from -110 mV to -30 mV from a holding potential of -60 mV in increments of 10 </w:t>
      </w:r>
      <w:r w:rsidRPr="0059161D">
        <w:rPr>
          <w:color w:val="000000" w:themeColor="text1"/>
          <w:lang w:val="en-US"/>
        </w:rPr>
        <w:t>mV.</w:t>
      </w:r>
      <w:r w:rsidRPr="0059161D">
        <w:rPr>
          <w:lang w:val="en-US"/>
        </w:rPr>
        <w:t xml:space="preserve"> Changes in current required to step the membrane to the test voltages indicated a change in conductance, and the crossing of the control and drug curves indicated the reversal potential of the conductance activated by </w:t>
      </w:r>
      <w:r w:rsidRPr="0059161D">
        <w:rPr>
          <w:rFonts w:cs="Times"/>
          <w:lang w:val="en-US"/>
        </w:rPr>
        <w:t>α</w:t>
      </w:r>
      <w:r w:rsidRPr="0059161D">
        <w:rPr>
          <w:lang w:val="en-US"/>
        </w:rPr>
        <w:t>-syn</w:t>
      </w:r>
      <w:r w:rsidRPr="0059161D">
        <w:rPr>
          <w:vertAlign w:val="subscript"/>
          <w:lang w:val="en-US"/>
        </w:rPr>
        <w:t>M</w:t>
      </w:r>
      <w:r w:rsidRPr="0059161D">
        <w:rPr>
          <w:lang w:val="en-US"/>
        </w:rPr>
        <w:t xml:space="preserve">. The current-voltage relationship is shown before and after </w:t>
      </w:r>
      <w:r w:rsidRPr="0059161D">
        <w:rPr>
          <w:rFonts w:cs="Times"/>
          <w:lang w:val="en-US"/>
        </w:rPr>
        <w:t>α</w:t>
      </w:r>
      <w:r w:rsidRPr="0059161D">
        <w:rPr>
          <w:lang w:val="en-US"/>
        </w:rPr>
        <w:t>-syn</w:t>
      </w:r>
      <w:r w:rsidRPr="0059161D">
        <w:rPr>
          <w:vertAlign w:val="subscript"/>
          <w:lang w:val="en-US"/>
        </w:rPr>
        <w:t xml:space="preserve">M </w:t>
      </w:r>
      <w:r w:rsidRPr="0059161D">
        <w:rPr>
          <w:lang w:val="en-US"/>
        </w:rPr>
        <w:t xml:space="preserve">application which indicates that the peptide induces a voltage-dependent conductance change (n = 2), strongly supporting the conclusion that </w:t>
      </w:r>
      <w:r w:rsidRPr="0059161D">
        <w:rPr>
          <w:rFonts w:cs="Times"/>
          <w:lang w:val="en-US"/>
        </w:rPr>
        <w:t>α</w:t>
      </w:r>
      <w:r w:rsidRPr="0059161D">
        <w:rPr>
          <w:lang w:val="en-US"/>
        </w:rPr>
        <w:t>-syn</w:t>
      </w:r>
      <w:r w:rsidRPr="0059161D">
        <w:rPr>
          <w:vertAlign w:val="subscript"/>
          <w:lang w:val="en-US"/>
        </w:rPr>
        <w:t xml:space="preserve">M </w:t>
      </w:r>
      <w:r w:rsidRPr="0059161D">
        <w:rPr>
          <w:lang w:val="en-US"/>
        </w:rPr>
        <w:t xml:space="preserve">has an effect on the electrophysiological properties of the membrane of LDT neurons.  </w:t>
      </w:r>
    </w:p>
    <w:p w:rsidR="00BD7136" w:rsidRDefault="00BD7136" w:rsidP="00BD7136">
      <w:pPr>
        <w:spacing w:line="480" w:lineRule="auto"/>
        <w:jc w:val="both"/>
        <w:rPr>
          <w:b/>
          <w:lang w:val="en-US"/>
        </w:rPr>
      </w:pPr>
    </w:p>
    <w:p w:rsidR="00BD7136" w:rsidRDefault="00BD7136" w:rsidP="00BD7136">
      <w:pPr>
        <w:spacing w:line="480" w:lineRule="auto"/>
        <w:jc w:val="both"/>
        <w:rPr>
          <w:b/>
          <w:lang w:val="en-US"/>
        </w:rPr>
      </w:pPr>
    </w:p>
    <w:p w:rsidR="00BD7136" w:rsidRPr="00BD7136" w:rsidRDefault="00BD7136" w:rsidP="00BD7136">
      <w:pPr>
        <w:spacing w:line="480" w:lineRule="auto"/>
        <w:jc w:val="both"/>
        <w:rPr>
          <w:b/>
          <w:lang w:val="en-US"/>
        </w:rPr>
      </w:pPr>
      <w:r w:rsidRPr="00BD7136">
        <w:rPr>
          <w:b/>
          <w:lang w:val="en-US"/>
        </w:rPr>
        <w:t xml:space="preserve">Discussion paragraph extension </w:t>
      </w:r>
    </w:p>
    <w:p w:rsidR="00BD7136" w:rsidRPr="00BD7136" w:rsidRDefault="00BD7136" w:rsidP="00BD7136">
      <w:pPr>
        <w:spacing w:line="480" w:lineRule="auto"/>
        <w:jc w:val="both"/>
        <w:rPr>
          <w:b/>
          <w:lang w:val="en-US"/>
        </w:rPr>
      </w:pPr>
    </w:p>
    <w:p w:rsidR="00BD7136" w:rsidRPr="00BD7136" w:rsidRDefault="00BD7136" w:rsidP="00BD7136">
      <w:pPr>
        <w:spacing w:line="480" w:lineRule="auto"/>
        <w:jc w:val="both"/>
        <w:rPr>
          <w:b/>
          <w:lang w:val="en-US"/>
        </w:rPr>
      </w:pPr>
    </w:p>
    <w:p w:rsidR="00BD7136" w:rsidRPr="00BD7136" w:rsidRDefault="00BD7136" w:rsidP="00BD7136">
      <w:pPr>
        <w:spacing w:line="480" w:lineRule="auto"/>
        <w:jc w:val="both"/>
        <w:rPr>
          <w:lang w:val="en-US"/>
        </w:rPr>
      </w:pPr>
      <w:r w:rsidRPr="00BD7136">
        <w:rPr>
          <w:lang w:val="en-US"/>
        </w:rPr>
        <w:t xml:space="preserve">While our findings support the speculation that monomeric </w:t>
      </w:r>
      <w:r w:rsidRPr="00BD7136">
        <w:rPr>
          <w:rFonts w:cs="Times"/>
          <w:lang w:val="en-US"/>
        </w:rPr>
        <w:t>α</w:t>
      </w:r>
      <w:r w:rsidRPr="00BD7136">
        <w:rPr>
          <w:lang w:val="en-US"/>
        </w:rPr>
        <w:t>-syn-induced, excitotoxicity-mediated neuronal death starts early in the LDT and PPT, they also suggest the intriguing possibility that a neuroprotective process occurs in SN neurons at this early PD stage. Inhibitory current induced in SN neurons could be due to effects on activity of ATP-sensitive K</w:t>
      </w:r>
      <w:r w:rsidRPr="00BD7136">
        <w:rPr>
          <w:vertAlign w:val="superscript"/>
          <w:lang w:val="en-US"/>
        </w:rPr>
        <w:t>+</w:t>
      </w:r>
      <w:r w:rsidRPr="00BD7136">
        <w:rPr>
          <w:lang w:val="en-US"/>
        </w:rPr>
        <w:t xml:space="preserve"> channels, as shown in insulin-secretary granules and later, in hippocampal culture </w:t>
      </w:r>
      <w:r w:rsidR="003F3439" w:rsidRPr="00BD7136">
        <w:rPr>
          <w:lang w:val="en-US"/>
        </w:rPr>
        <w:fldChar w:fldCharType="begin" w:fldLock="1"/>
      </w:r>
      <w:r w:rsidRPr="00BD7136">
        <w:rPr>
          <w:lang w:val="en-US"/>
        </w:rPr>
        <w:instrText>ADDIN CSL_CITATION {"citationItems":[{"id":"ITEM-1","itemData":{"DOI":"10.1113/jphysiol.2014.280974","ISSN":"00223751","abstract":"In Parkinson's disease and several other neurodegenerative diseases, the protein α-synuclein (αS) is produced within neurons and accumulates in the extracellular fluid. Several mechanisms of αS action are proposed, one of which is the formation of cation-permeable pores that may mediate toxicity. αS induces non-selective cation channels in lipid bilayers, but whether this occurs in living neurons and which properties the channels possess have not yet been examined. In this study the properties of αS channels in dissociated hippocampal neurons are documented. In cell-attached recordings the incorporation of αS into membranes was driven by applied negative potentials. These channels exhibited multiple levels of conductance (30, 70 and 120 pS at -100 mV) and inward rectification. The persistent activity of αS channels induced local changes in intracellular Na+ and Ca2+, depolarized neurons and augmented bursting activity. αS channels formed by adding αS to the intracellular membrane in inside-out patches exhibited outward rectification. αS channels were equally permeable to Na+, K+ and Ca2+. These channels were also observed in neurons transfected with wild-type or mutant A53T αS, and after extracellular application of wild-type or mutant A53T αS proteins. Opening of αS channels stimulated opening of ATP-sensitive K+ (KATP ) channels and did not interfere with the activity of delayed rectifier K+ channels. The properties of αS channels in neuronal membranes suggest stronger toxicity of extracellularly applied αS than intracellular αS. Enhancement of neuronal excitability and distortions in ion homeostasis may underlie the toxic effects of αS that can be dampened by KATP channels.","author":[{"dropping-particle":"","family":"Mironov","given":"Sergej L.","non-dropping-particle":"","parse-names":false,"suffix":""}],"container-title":"The Journal of Physiology","id":"ITEM-1","issue":"1","issued":{"date-parts":[["2015","1","1"]]},"page":"145-159","title":"α-Synuclein forms non-selective cation channels and stimulates ATP-sensitive potassium channels in hippocampal neurons","type":"article-journal","volume":"593"},"uris":["http://www.mendeley.com/documents/?uuid=cd5a1d1e-10af-4060-af40-1618d58619fc"]},{"id":"ITEM-2","itemData":{"DOI":"10.1152/ajpendo.00262.2010","ISSN":"0193-1849","abstract":"α-Synuclein has been studied in numerous cell types often associated with secretory processes. In pancreatic β-cells, α-synuclein might therefore play a similar role by interacting with organelles involved in insulin secretion. We tested for α-synuclein localizing to insulin-secretory granules and characterized its role in glucose-stimulated insulin secretion. Immunohistochemistry and fluorescent sulfonylureas were used to test for α-synuclein localization to insulin granules in β-cells, immunoprecipitation with Western blot analysis for interaction between α-synuclein and K ATP channels, and ELISA assays for the effect of altering α-synuclein expression up or down on insulin secretion in INS1 cells or mouse islets, respectively. Differences in cellular phenotype between α-synuclein knockout and wild-type β-cells were found by using confocal microscopy to image the fluorescent insulin biosensor Ins-C-emGFP and by using transmission electron microscopy. The results show that anti-α-synuclein antibodies labeled secretory organelles within β-cells. Anti-α-synuclein antibodies colocalized with K ATP channel, anti-insulin, and anti-C-peptide antibodies. α-Synuclein coimmunoprecipitated in complexes with K ATP channels. Expression of α-synuclein downregulated insulin secretion at 2.8 mM glucose with little effect following 16.7 mM glucose stimulation. α-Synuclein knockout islets upregulated insulin secretion at 2.8 and 8.4 mM but not 16.7 mM glucose, consistent with the depleted insulin granule density at the β-cell surface membranes observed in these islets. These findings demonstrate that α-synuclein interacts with K ATP channels and insulin-secretory granules and functionally acts as a brake on secretion that glucose stimulation can override. α-Synuclein might play similar roles in diabetes as it does in other degenerative diseases, including Alzheimer's and Parkinson's diseases.","author":[{"dropping-particle":"","family":"Geng","given":"Xuehui","non-dropping-particle":"","parse-names":false,"suffix":""},{"dropping-particle":"","family":"Lou","given":"Haiyan","non-dropping-particle":"","parse-names":false,"suffix":""},{"dropping-particle":"","family":"Wang","given":"Jian","non-dropping-particle":"","parse-names":false,"suffix":""},{"dropping-particle":"","family":"Li","given":"Lehong","non-dropping-particle":"","parse-names":false,"suffix":""},{"dropping-particle":"","family":"Swanson","given":"Alexandra L.","non-dropping-particle":"","parse-names":false,"suffix":""},{"dropping-particle":"","family":"Sun","given":"Ming","non-dropping-particle":"","parse-names":false,"suffix":""},{"dropping-particle":"","family":"Beers-Stolz","given":"Donna","non-dropping-particle":"","parse-names":false,"suffix":""},{"dropping-particle":"","family":"Watkins","given":"Simon","non-dropping-particle":"","parse-names":false,"suffix":""},{"dropping-particle":"","family":"Perez","given":"Ruth G.","non-dropping-particle":"","parse-names":false,"suffix":""},{"dropping-particle":"","family":"Drain","given":"Peter","non-dropping-particle":"","parse-names":false,"suffix":""}],"container-title":"American Journal of Physiology-Endocrinology and Metabolism","id":"ITEM-2","issue":"2","issued":{"date-parts":[["2011","2"]]},"page":"E276-E286","title":"α-Synuclein binds the K ATP channel at insulin-secretory granules and inhibits insulin secretion","type":"article-journal","volume":"300"},"uris":["http://www.mendeley.com/documents/?uuid=39681e54-8a78-49d4-837c-c8743415b456"]}],"mendeley":{"formattedCitation":"(Geng &lt;i&gt;et al.&lt;/i&gt;, 2011; Mironov, 2015)","plainTextFormattedCitation":"(Geng et al., 2011; Mironov, 2015)","previouslyFormattedCitation":"(Geng &lt;i&gt;et al.&lt;/i&gt;, 2011; Mironov, 2015)"},"properties":{"noteIndex":0},"schema":"https://github.com/citation-style-language/schema/raw/master/csl-citation.json"}</w:instrText>
      </w:r>
      <w:r w:rsidR="003F3439" w:rsidRPr="00BD7136">
        <w:rPr>
          <w:lang w:val="en-US"/>
        </w:rPr>
        <w:fldChar w:fldCharType="separate"/>
      </w:r>
      <w:r w:rsidRPr="00BD7136">
        <w:rPr>
          <w:noProof/>
          <w:lang w:val="en-US"/>
        </w:rPr>
        <w:t xml:space="preserve">(Geng </w:t>
      </w:r>
      <w:r w:rsidRPr="00BD7136">
        <w:rPr>
          <w:i/>
          <w:noProof/>
          <w:lang w:val="en-US"/>
        </w:rPr>
        <w:t>et al.</w:t>
      </w:r>
      <w:r w:rsidRPr="00BD7136">
        <w:rPr>
          <w:noProof/>
          <w:lang w:val="en-US"/>
        </w:rPr>
        <w:t>, 2011; Mironov, 2015)</w:t>
      </w:r>
      <w:r w:rsidR="003F3439" w:rsidRPr="00BD7136">
        <w:rPr>
          <w:lang w:val="en-US"/>
        </w:rPr>
        <w:fldChar w:fldCharType="end"/>
      </w:r>
      <w:r w:rsidRPr="00BD7136">
        <w:rPr>
          <w:lang w:val="en-US"/>
        </w:rPr>
        <w:t xml:space="preserve">. In a high proportion of SN cells, in addition to inhibitory currents, </w:t>
      </w:r>
      <w:r w:rsidRPr="00BD7136">
        <w:rPr>
          <w:rFonts w:cs="Times"/>
          <w:lang w:val="en-US"/>
        </w:rPr>
        <w:t>α</w:t>
      </w:r>
      <w:r w:rsidRPr="00BD7136">
        <w:rPr>
          <w:lang w:val="en-US"/>
        </w:rPr>
        <w:t xml:space="preserve">-syn elicited decreases in intracellular calcium. This effect could be caused by activation of SERCA pumps which appear responsible for reductions in calcium induced by </w:t>
      </w:r>
      <w:r w:rsidRPr="00BD7136">
        <w:rPr>
          <w:rFonts w:cs="Times"/>
          <w:lang w:val="en-US"/>
        </w:rPr>
        <w:t>α</w:t>
      </w:r>
      <w:r w:rsidRPr="00BD7136">
        <w:rPr>
          <w:lang w:val="en-US"/>
        </w:rPr>
        <w:t xml:space="preserve">-syn in cell culture models </w:t>
      </w:r>
      <w:r w:rsidR="003F3439" w:rsidRPr="00BD7136">
        <w:rPr>
          <w:lang w:val="en-US"/>
        </w:rPr>
        <w:fldChar w:fldCharType="begin" w:fldLock="1"/>
      </w:r>
      <w:r w:rsidRPr="00BD7136">
        <w:rPr>
          <w:lang w:val="en-US"/>
        </w:rPr>
        <w:instrText>ADDIN CSL_CITATION {"citationItems":[{"id":"ITEM-1","itemData":{"DOI":"10.15252/embr.201744617","ISSN":"1469-221X","author":[{"dropping-particle":"","family":"Betzer","given":"Cristine","non-dropping-particle":"","parse-names":false,"suffix":""},{"dropping-particle":"","family":"Lassen","given":"Louise Berkhoudt","non-dropping-particle":"","parse-names":false,"suffix":""},{"dropping-particle":"","family":"Olsen","given":"Anders","non-dropping-particle":"","parse-names":false,"suffix":""},{"dropping-particle":"","family":"Kofoed","given":"Rikke Hahn","non-dropping-particle":"","parse-names":false,"suffix":""},{"dropping-particle":"","family":"Reimer","given":"Lasse","non-dropping-particle":"","parse-names":false,"suffix":""},{"dropping-particle":"","family":"Gregersen","given":"Emil","non-dropping-particle":"","parse-names":false,"suffix":""},{"dropping-particle":"","family":"Zheng","given":"Jin","non-dropping-particle":"","parse-names":false,"suffix":""},{"dropping-particle":"","family":"Calì","given":"Tito","non-dropping-particle":"","parse-names":false,"suffix":""},{"dropping-particle":"","family":"Gai","given":"Wei</w:instrText>
      </w:r>
      <w:r w:rsidRPr="00BD7136">
        <w:rPr>
          <w:rFonts w:ascii="Cambria Math" w:hAnsi="Cambria Math" w:cs="Cambria Math"/>
          <w:lang w:val="en-US"/>
        </w:rPr>
        <w:instrText>‐</w:instrText>
      </w:r>
      <w:r w:rsidRPr="00BD7136">
        <w:rPr>
          <w:lang w:val="en-US"/>
        </w:rPr>
        <w:instrText>Ping","non-dropping-particle":"","parse-names":false,"suffix":""},{"dropping-particle":"","family":"Chen","given":"Tong","non-dropping-particle":"","parse-names":false,"suffix":""},{"dropping-particle":"","family":"Moeller","given":"Arne","non-dropping-particle":"","parse-names":false,"suffix":""},{"dropping-particle":"","family":"Brini","given":"Marisa","non-dropping-particle":"","parse-names":false,"suffix":""},{"dropping-particle":"","family":"Fu","given":"Yuhong","non-dropping-particle":"","parse-names":false,"suffix":""},{"dropping-particle":"","family":"Halliday","given":"Glenda","non-dropping-particle":"","parse-names":false,"suffix":""},{"dropping-particle":"","family":"Brudek","given":"Tomasz","non-dropping-particle":"","parse-names":false,"suffix":""},{"dropping-particle":"","family":"Aznar","given":"Susana","non-dropping-particle":"","parse-names":false,"suffix":""},{"dropping-particle":"","family":"Pakkenberg","given":"Bente","non-dropping-particle":"","parse-names":false,"suffix":""},{"dropping-particle":"","family":"Andersen","given":"Jens Peter","non-dropping-particle":"","parse-names":false,"suffix":""},{"dropping-particle":"","family":"Jensen","given":"Poul Henning","non-dropping-particle":"","parse-names":false,"suffix":""}],"container-title":"EMBO reports","id":"ITEM-1","issue":"5","issued":{"date-parts":[["2018","5"]]},"page":"e44617","title":"Alpha</w:instrText>
      </w:r>
      <w:r w:rsidRPr="00BD7136">
        <w:rPr>
          <w:rFonts w:ascii="Cambria Math" w:hAnsi="Cambria Math" w:cs="Cambria Math"/>
          <w:lang w:val="en-US"/>
        </w:rPr>
        <w:instrText>‐</w:instrText>
      </w:r>
      <w:r w:rsidRPr="00BD7136">
        <w:rPr>
          <w:lang w:val="en-US"/>
        </w:rPr>
        <w:instrText>synuclein aggregates activate calcium pump SERCA leading to calcium dysregulation","type":"article-journal","volume":"19"},"uris":["http://www.mendeley.com/documents/?uuid=757b0de1-2814-4ed1-850b-e974f0637e7d"]}],"mendeley":{"formattedCitation":"(Betzer &lt;i&gt;et al.&lt;/i&gt;, 2018)","plainTextFormattedCitation":"(Betzer et al., 2018)","previouslyFormattedCitation":"(Betzer &lt;i&gt;et al.&lt;/i&gt;, 2018)"},"properties":{"noteIndex":0},"schema":"https://github.com/citation-style-language/schema/raw/master/csl-citation.json"}</w:instrText>
      </w:r>
      <w:r w:rsidR="003F3439" w:rsidRPr="00BD7136">
        <w:rPr>
          <w:lang w:val="en-US"/>
        </w:rPr>
        <w:fldChar w:fldCharType="separate"/>
      </w:r>
      <w:r w:rsidRPr="00BD7136">
        <w:rPr>
          <w:noProof/>
          <w:lang w:val="en-US"/>
        </w:rPr>
        <w:t xml:space="preserve">(Betzer </w:t>
      </w:r>
      <w:r w:rsidRPr="00BD7136">
        <w:rPr>
          <w:i/>
          <w:noProof/>
          <w:lang w:val="en-US"/>
        </w:rPr>
        <w:t>et al.</w:t>
      </w:r>
      <w:r w:rsidRPr="00BD7136">
        <w:rPr>
          <w:noProof/>
          <w:lang w:val="en-US"/>
        </w:rPr>
        <w:t>, 2018)</w:t>
      </w:r>
      <w:r w:rsidR="003F3439" w:rsidRPr="00BD7136">
        <w:rPr>
          <w:lang w:val="en-US"/>
        </w:rPr>
        <w:fldChar w:fldCharType="end"/>
      </w:r>
      <w:r w:rsidRPr="00BD7136">
        <w:rPr>
          <w:lang w:val="en-US"/>
        </w:rPr>
        <w:t xml:space="preserve">.  Interpreted with reference to previous studies, our results, thus, suggest that, while initially protective, exacerbation of the inhibitory effect induced by fibril </w:t>
      </w:r>
      <w:r w:rsidRPr="00BD7136">
        <w:rPr>
          <w:rFonts w:cs="Times"/>
          <w:lang w:val="en-US"/>
        </w:rPr>
        <w:t>α</w:t>
      </w:r>
      <w:r w:rsidRPr="00BD7136">
        <w:rPr>
          <w:lang w:val="en-US"/>
        </w:rPr>
        <w:t xml:space="preserve">-syn could eventually lead to cell death, as it </w:t>
      </w:r>
      <w:r w:rsidRPr="00BD7136">
        <w:rPr>
          <w:noProof/>
          <w:lang w:val="en-US"/>
        </w:rPr>
        <w:t>is well documented</w:t>
      </w:r>
      <w:r w:rsidRPr="00BD7136">
        <w:rPr>
          <w:lang w:val="en-US"/>
        </w:rPr>
        <w:t xml:space="preserve"> that dopaminergic SN neurons require a baseline level of activity to ensure their survival </w:t>
      </w:r>
      <w:r w:rsidR="003F3439" w:rsidRPr="00BD7136">
        <w:rPr>
          <w:lang w:val="en-US"/>
        </w:rPr>
        <w:fldChar w:fldCharType="begin" w:fldLock="1"/>
      </w:r>
      <w:r w:rsidRPr="00BD7136">
        <w:rPr>
          <w:lang w:val="en-US"/>
        </w:rPr>
        <w:instrText>ADDIN CSL_CITATION {"citationItems":[{"id":"ITEM-1","itemData":{"DOI":"10.1096/fj.12-220418","ISBN":"1530-6860 (Electronic)\\r0892-6638 (Linking)","ISSN":"0892-6638","PMID":"23699175","abstract":"Parkinson disease (PD) is a degenerative brain disorder characterized by motor symptoms that are unequivocally associated with the loss of dopaminergic (DA) neurons in the substantia nigra (SN). Although our knowledge of the mechanisms that contribute to DA cell death in both hereditary and sporadic forms of the disease has advanced significantly, the nature of the pathogenic process remains poorly understood. In this review, we present evidence that neurodegeneration occurs when the electrical activity and excitability of these neurons is reduced. In particular, we will focus on the specific need these neurons may have for stimulation in order to survive and on the molecular and cellular mechanisms that may be compromised when this need is no longer met in PD.","author":[{"dropping-particle":"","family":"Michel","given":"Patrick P.","non-dropping-particle":"","parse-names":false,"suffix":""},{"dropping-particle":"","family":"Toulorge","given":"Damien","non-dropping-particle":"","parse-names":false,"suffix":""},{"dropping-particle":"","family":"Guerreiro","given":"Serge","non-dropping-particle":"","parse-names":false,"suffix":""},{"dropping-particle":"","family":"Hirsch","given":"Etienne C.","non-dropping-particle":"","parse-names":false,"suffix":""}],"container-title":"The FASEB Journal","id":"ITEM-1","issue":"9","issued":{"date-parts":[["2013","9"]]},"page":"3414-3423","title":"Specific needs of dopamine neurons for stimulation in order to survive: implication for Parkinson disease","type":"article-journal","volume":"27"},"uris":["http://www.mendeley.com/documents/?uuid=fcd3dd05-ec40-4ced-a806-3d3d233e6639"]}],"mendeley":{"formattedCitation":"(Michel &lt;i&gt;et al.&lt;/i&gt;, 2013)","plainTextFormattedCitation":"(Michel et al., 2013)","previouslyFormattedCitation":"(Michel &lt;i&gt;et al.&lt;/i&gt;, 2013)"},"properties":{"noteIndex":0},"schema":"https://github.com/citation-style-language/schema/raw/master/csl-citation.json"}</w:instrText>
      </w:r>
      <w:r w:rsidR="003F3439" w:rsidRPr="00BD7136">
        <w:rPr>
          <w:lang w:val="en-US"/>
        </w:rPr>
        <w:fldChar w:fldCharType="separate"/>
      </w:r>
      <w:r w:rsidRPr="00BD7136">
        <w:rPr>
          <w:noProof/>
          <w:lang w:val="en-US"/>
        </w:rPr>
        <w:t xml:space="preserve">(Michel </w:t>
      </w:r>
      <w:r w:rsidRPr="00BD7136">
        <w:rPr>
          <w:i/>
          <w:noProof/>
          <w:lang w:val="en-US"/>
        </w:rPr>
        <w:t>et al.</w:t>
      </w:r>
      <w:r w:rsidRPr="00BD7136">
        <w:rPr>
          <w:noProof/>
          <w:lang w:val="en-US"/>
        </w:rPr>
        <w:t>, 2013)</w:t>
      </w:r>
      <w:r w:rsidR="003F3439" w:rsidRPr="00BD7136">
        <w:rPr>
          <w:lang w:val="en-US"/>
        </w:rPr>
        <w:fldChar w:fldCharType="end"/>
      </w:r>
      <w:r w:rsidRPr="00BD7136">
        <w:rPr>
          <w:lang w:val="en-US"/>
        </w:rPr>
        <w:t xml:space="preserve">, and therefore, sustained inhibition may become counterproductive by leading to hypoactivation and degeneration of SN neurons.  </w:t>
      </w:r>
    </w:p>
    <w:p w:rsidR="00BD7136" w:rsidRDefault="00BD7136" w:rsidP="00BD7136">
      <w:r>
        <w:rPr>
          <w:b/>
          <w:bCs/>
          <w:lang w:val="en-US"/>
        </w:rPr>
        <w:br w:type="page"/>
      </w:r>
      <w:r>
        <w:rPr>
          <w:b/>
        </w:rPr>
        <w:t xml:space="preserve">Supplemental </w:t>
      </w:r>
      <w:r w:rsidRPr="00BF2E29">
        <w:rPr>
          <w:b/>
        </w:rPr>
        <w:t xml:space="preserve">Table 1. </w:t>
      </w:r>
      <w:r w:rsidRPr="00E26369">
        <w:t xml:space="preserve">Proportion </w:t>
      </w:r>
      <w:r>
        <w:t xml:space="preserve">of recorded </w:t>
      </w:r>
      <w:r w:rsidRPr="00E26369">
        <w:t>cells responding to</w:t>
      </w:r>
      <w:r>
        <w:t xml:space="preserve"> 100 nM</w:t>
      </w:r>
      <w:r w:rsidRPr="00E26369">
        <w:t xml:space="preserve"> α-syn</w:t>
      </w:r>
      <w:r w:rsidRPr="00E26369">
        <w:rPr>
          <w:vertAlign w:val="subscript"/>
        </w:rPr>
        <w:t>M</w:t>
      </w:r>
      <w:r w:rsidRPr="00E26369">
        <w:t xml:space="preserve"> and α-syn</w:t>
      </w:r>
      <w:r w:rsidRPr="00E26369">
        <w:rPr>
          <w:vertAlign w:val="subscript"/>
        </w:rPr>
        <w:t xml:space="preserve">F </w:t>
      </w:r>
      <w:r w:rsidRPr="00E26369">
        <w:t>divided by cell typ</w:t>
      </w:r>
      <w:r>
        <w:t>e in the Laterodorsal Tegmentum, Pedunculopontine Tegmentum</w:t>
      </w:r>
      <w:r w:rsidRPr="00E51CC1">
        <w:rPr>
          <w:lang w:val="en-US"/>
        </w:rPr>
        <w:t xml:space="preserve"> and</w:t>
      </w:r>
      <w:r w:rsidRPr="00E26369">
        <w:t xml:space="preserve"> </w:t>
      </w:r>
      <w:r>
        <w:t>Substantia Nigra.</w:t>
      </w:r>
      <w:bookmarkStart w:id="0" w:name="_GoBack"/>
      <w:bookmarkEnd w:id="0"/>
    </w:p>
    <w:p w:rsidR="00BD7136" w:rsidRDefault="00BD7136" w:rsidP="00BD7136"/>
    <w:p w:rsidR="00BD7136" w:rsidRDefault="00BD7136" w:rsidP="00BD7136"/>
    <w:tbl>
      <w:tblPr>
        <w:tblW w:w="0" w:type="auto"/>
        <w:tblLook w:val="04A0"/>
      </w:tblPr>
      <w:tblGrid>
        <w:gridCol w:w="1438"/>
        <w:gridCol w:w="1554"/>
        <w:gridCol w:w="1246"/>
        <w:gridCol w:w="247"/>
        <w:gridCol w:w="1170"/>
        <w:gridCol w:w="1357"/>
        <w:gridCol w:w="171"/>
        <w:gridCol w:w="1339"/>
      </w:tblGrid>
      <w:tr w:rsidR="00BD7136" w:rsidRPr="00B216A4">
        <w:tc>
          <w:tcPr>
            <w:tcW w:w="1594" w:type="dxa"/>
            <w:tcBorders>
              <w:bottom w:val="single" w:sz="4" w:space="0" w:color="auto"/>
            </w:tcBorders>
          </w:tcPr>
          <w:p w:rsidR="00BD7136" w:rsidRPr="00840C7F" w:rsidRDefault="00BD7136" w:rsidP="009C757F">
            <w:pPr>
              <w:spacing w:before="240"/>
              <w:jc w:val="center"/>
              <w:rPr>
                <w:b/>
                <w:color w:val="000000" w:themeColor="text1"/>
                <w:sz w:val="20"/>
                <w:szCs w:val="20"/>
              </w:rPr>
            </w:pPr>
            <w:r w:rsidRPr="00840C7F">
              <w:rPr>
                <w:b/>
                <w:color w:val="000000" w:themeColor="text1"/>
                <w:sz w:val="20"/>
                <w:szCs w:val="20"/>
              </w:rPr>
              <w:t>Peptide form</w:t>
            </w:r>
          </w:p>
        </w:tc>
        <w:tc>
          <w:tcPr>
            <w:tcW w:w="1744" w:type="dxa"/>
            <w:tcBorders>
              <w:bottom w:val="single" w:sz="4" w:space="0" w:color="auto"/>
            </w:tcBorders>
          </w:tcPr>
          <w:p w:rsidR="00BD7136" w:rsidRPr="00840C7F" w:rsidRDefault="00BD7136" w:rsidP="009C757F">
            <w:pPr>
              <w:spacing w:before="240"/>
              <w:jc w:val="center"/>
              <w:rPr>
                <w:b/>
                <w:color w:val="000000" w:themeColor="text1"/>
                <w:sz w:val="20"/>
                <w:szCs w:val="20"/>
              </w:rPr>
            </w:pPr>
            <w:r>
              <w:rPr>
                <w:b/>
                <w:color w:val="000000" w:themeColor="text1"/>
                <w:sz w:val="20"/>
                <w:szCs w:val="20"/>
              </w:rPr>
              <w:t>Brain n</w:t>
            </w:r>
            <w:r w:rsidRPr="00840C7F">
              <w:rPr>
                <w:b/>
                <w:color w:val="000000" w:themeColor="text1"/>
                <w:sz w:val="20"/>
                <w:szCs w:val="20"/>
              </w:rPr>
              <w:t>ucleus</w:t>
            </w:r>
          </w:p>
        </w:tc>
        <w:tc>
          <w:tcPr>
            <w:tcW w:w="1306" w:type="dxa"/>
            <w:tcBorders>
              <w:bottom w:val="single" w:sz="4" w:space="0" w:color="auto"/>
            </w:tcBorders>
          </w:tcPr>
          <w:p w:rsidR="00BD7136" w:rsidRPr="00840C7F" w:rsidRDefault="00BD7136" w:rsidP="009C757F">
            <w:pPr>
              <w:spacing w:before="240"/>
              <w:jc w:val="center"/>
              <w:rPr>
                <w:b/>
                <w:color w:val="000000" w:themeColor="text1"/>
                <w:sz w:val="20"/>
                <w:szCs w:val="20"/>
              </w:rPr>
            </w:pPr>
            <w:r>
              <w:rPr>
                <w:b/>
                <w:color w:val="000000" w:themeColor="text1"/>
                <w:sz w:val="20"/>
                <w:szCs w:val="20"/>
              </w:rPr>
              <w:t>Numbers identified by c</w:t>
            </w:r>
            <w:r w:rsidRPr="00840C7F">
              <w:rPr>
                <w:b/>
                <w:color w:val="000000" w:themeColor="text1"/>
                <w:sz w:val="20"/>
                <w:szCs w:val="20"/>
              </w:rPr>
              <w:t>ell type</w:t>
            </w:r>
          </w:p>
        </w:tc>
        <w:tc>
          <w:tcPr>
            <w:tcW w:w="1527" w:type="dxa"/>
            <w:gridSpan w:val="2"/>
            <w:tcBorders>
              <w:bottom w:val="single" w:sz="4" w:space="0" w:color="auto"/>
            </w:tcBorders>
          </w:tcPr>
          <w:p w:rsidR="00BD7136" w:rsidRPr="00840C7F" w:rsidRDefault="00BD7136" w:rsidP="009C757F">
            <w:pPr>
              <w:spacing w:before="240"/>
              <w:jc w:val="center"/>
              <w:rPr>
                <w:b/>
                <w:color w:val="000000" w:themeColor="text1"/>
                <w:sz w:val="20"/>
                <w:szCs w:val="20"/>
              </w:rPr>
            </w:pPr>
            <w:r w:rsidRPr="00840C7F">
              <w:rPr>
                <w:b/>
                <w:color w:val="000000" w:themeColor="text1"/>
                <w:sz w:val="20"/>
                <w:szCs w:val="20"/>
              </w:rPr>
              <w:t>Response</w:t>
            </w:r>
          </w:p>
        </w:tc>
        <w:tc>
          <w:tcPr>
            <w:tcW w:w="1450" w:type="dxa"/>
            <w:tcBorders>
              <w:bottom w:val="single" w:sz="4" w:space="0" w:color="auto"/>
            </w:tcBorders>
          </w:tcPr>
          <w:p w:rsidR="00BD7136" w:rsidRPr="00840C7F" w:rsidRDefault="00BD7136" w:rsidP="009C757F">
            <w:pPr>
              <w:spacing w:before="240"/>
              <w:jc w:val="center"/>
              <w:rPr>
                <w:b/>
                <w:color w:val="000000" w:themeColor="text1"/>
                <w:sz w:val="20"/>
                <w:szCs w:val="20"/>
              </w:rPr>
            </w:pPr>
            <w:r>
              <w:rPr>
                <w:b/>
                <w:color w:val="000000" w:themeColor="text1"/>
                <w:sz w:val="20"/>
                <w:szCs w:val="20"/>
              </w:rPr>
              <w:t xml:space="preserve">No </w:t>
            </w:r>
            <w:r w:rsidRPr="00840C7F">
              <w:rPr>
                <w:b/>
                <w:color w:val="000000" w:themeColor="text1"/>
                <w:sz w:val="20"/>
                <w:szCs w:val="20"/>
              </w:rPr>
              <w:t>Response</w:t>
            </w:r>
          </w:p>
        </w:tc>
        <w:tc>
          <w:tcPr>
            <w:tcW w:w="1615" w:type="dxa"/>
            <w:gridSpan w:val="2"/>
            <w:tcBorders>
              <w:bottom w:val="single" w:sz="4" w:space="0" w:color="auto"/>
            </w:tcBorders>
          </w:tcPr>
          <w:p w:rsidR="00BD7136" w:rsidRPr="00840C7F" w:rsidRDefault="00BD7136" w:rsidP="009C757F">
            <w:pPr>
              <w:spacing w:before="240"/>
              <w:jc w:val="center"/>
              <w:rPr>
                <w:b/>
                <w:color w:val="000000" w:themeColor="text1"/>
                <w:sz w:val="20"/>
                <w:szCs w:val="20"/>
              </w:rPr>
            </w:pPr>
            <w:r w:rsidRPr="00840C7F">
              <w:rPr>
                <w:b/>
                <w:color w:val="000000" w:themeColor="text1"/>
                <w:sz w:val="20"/>
                <w:szCs w:val="20"/>
              </w:rPr>
              <w:t>Amplitude of the response</w:t>
            </w:r>
            <w:r>
              <w:rPr>
                <w:b/>
                <w:color w:val="000000" w:themeColor="text1"/>
                <w:sz w:val="20"/>
                <w:szCs w:val="20"/>
              </w:rPr>
              <w:t xml:space="preserve">         (pA)</w:t>
            </w:r>
          </w:p>
        </w:tc>
      </w:tr>
      <w:tr w:rsidR="00BD7136" w:rsidRPr="00B216A4">
        <w:tc>
          <w:tcPr>
            <w:tcW w:w="1594" w:type="dxa"/>
          </w:tcPr>
          <w:p w:rsidR="00BD7136" w:rsidRPr="00EC6265" w:rsidRDefault="00BD7136" w:rsidP="009C757F">
            <w:pPr>
              <w:spacing w:before="240"/>
              <w:rPr>
                <w:color w:val="000000" w:themeColor="text1"/>
                <w:sz w:val="20"/>
                <w:szCs w:val="20"/>
              </w:rPr>
            </w:pPr>
          </w:p>
        </w:tc>
        <w:tc>
          <w:tcPr>
            <w:tcW w:w="1744" w:type="dxa"/>
          </w:tcPr>
          <w:p w:rsidR="00BD7136" w:rsidRPr="00EC6265" w:rsidRDefault="00BD7136" w:rsidP="009C757F">
            <w:pPr>
              <w:spacing w:before="240"/>
              <w:jc w:val="center"/>
              <w:rPr>
                <w:color w:val="000000" w:themeColor="text1"/>
                <w:sz w:val="20"/>
                <w:szCs w:val="20"/>
              </w:rPr>
            </w:pPr>
            <w:r w:rsidRPr="00EC6265">
              <w:rPr>
                <w:color w:val="000000" w:themeColor="text1"/>
                <w:sz w:val="20"/>
                <w:szCs w:val="20"/>
              </w:rPr>
              <w:t>LDT</w:t>
            </w:r>
          </w:p>
        </w:tc>
        <w:tc>
          <w:tcPr>
            <w:tcW w:w="1306" w:type="dxa"/>
          </w:tcPr>
          <w:p w:rsidR="00BD7136" w:rsidRPr="00EC6265" w:rsidRDefault="00BD7136" w:rsidP="009C757F">
            <w:pPr>
              <w:spacing w:before="240"/>
              <w:jc w:val="center"/>
              <w:rPr>
                <w:color w:val="000000" w:themeColor="text1"/>
                <w:sz w:val="20"/>
                <w:szCs w:val="20"/>
              </w:rPr>
            </w:pPr>
            <w:r w:rsidRPr="00EC6265">
              <w:rPr>
                <w:color w:val="000000" w:themeColor="text1"/>
                <w:sz w:val="20"/>
                <w:szCs w:val="20"/>
              </w:rPr>
              <w:t>Chol (n=4)</w:t>
            </w:r>
          </w:p>
        </w:tc>
        <w:tc>
          <w:tcPr>
            <w:tcW w:w="1527" w:type="dxa"/>
            <w:gridSpan w:val="2"/>
          </w:tcPr>
          <w:p w:rsidR="00BD7136" w:rsidRPr="00EC6265" w:rsidRDefault="00BD7136" w:rsidP="009C757F">
            <w:pPr>
              <w:spacing w:before="240"/>
              <w:jc w:val="center"/>
              <w:rPr>
                <w:color w:val="000000" w:themeColor="text1"/>
                <w:sz w:val="20"/>
                <w:szCs w:val="20"/>
              </w:rPr>
            </w:pPr>
            <w:r w:rsidRPr="00EC6265">
              <w:rPr>
                <w:color w:val="000000" w:themeColor="text1"/>
                <w:sz w:val="20"/>
                <w:szCs w:val="20"/>
              </w:rPr>
              <w:t>100%</w:t>
            </w:r>
          </w:p>
        </w:tc>
        <w:tc>
          <w:tcPr>
            <w:tcW w:w="1450" w:type="dxa"/>
          </w:tcPr>
          <w:p w:rsidR="00BD7136" w:rsidRPr="00736BA4" w:rsidRDefault="00BD7136" w:rsidP="009C757F">
            <w:pPr>
              <w:spacing w:before="240"/>
              <w:jc w:val="center"/>
              <w:rPr>
                <w:sz w:val="20"/>
                <w:szCs w:val="20"/>
              </w:rPr>
            </w:pPr>
            <w:r w:rsidRPr="00736BA4">
              <w:rPr>
                <w:sz w:val="20"/>
                <w:szCs w:val="20"/>
              </w:rPr>
              <w:t>-</w:t>
            </w:r>
          </w:p>
        </w:tc>
        <w:tc>
          <w:tcPr>
            <w:tcW w:w="1615" w:type="dxa"/>
            <w:gridSpan w:val="2"/>
          </w:tcPr>
          <w:p w:rsidR="00BD7136" w:rsidRPr="00736BA4" w:rsidRDefault="00BD7136" w:rsidP="009C757F">
            <w:pPr>
              <w:spacing w:before="240"/>
              <w:jc w:val="center"/>
              <w:rPr>
                <w:sz w:val="20"/>
                <w:szCs w:val="20"/>
              </w:rPr>
            </w:pPr>
            <w:r>
              <w:rPr>
                <w:sz w:val="20"/>
                <w:szCs w:val="20"/>
              </w:rPr>
              <w:t>= -</w:t>
            </w:r>
            <w:r w:rsidRPr="00736BA4">
              <w:rPr>
                <w:sz w:val="20"/>
                <w:szCs w:val="20"/>
              </w:rPr>
              <w:t>7.6</w:t>
            </w:r>
            <w:r>
              <w:rPr>
                <w:sz w:val="20"/>
                <w:szCs w:val="20"/>
              </w:rPr>
              <w:t xml:space="preserve"> </w:t>
            </w:r>
            <w:r w:rsidRPr="00736BA4">
              <w:rPr>
                <w:sz w:val="20"/>
                <w:szCs w:val="20"/>
              </w:rPr>
              <w:t>±</w:t>
            </w:r>
            <w:r>
              <w:rPr>
                <w:sz w:val="20"/>
                <w:szCs w:val="20"/>
              </w:rPr>
              <w:t xml:space="preserve"> </w:t>
            </w:r>
            <w:r w:rsidRPr="00736BA4">
              <w:rPr>
                <w:sz w:val="20"/>
                <w:szCs w:val="20"/>
              </w:rPr>
              <w:t>1.3</w:t>
            </w:r>
          </w:p>
        </w:tc>
      </w:tr>
      <w:tr w:rsidR="00BD7136" w:rsidRPr="00B216A4">
        <w:tc>
          <w:tcPr>
            <w:tcW w:w="1594" w:type="dxa"/>
          </w:tcPr>
          <w:p w:rsidR="00BD7136" w:rsidRPr="00EC6265" w:rsidRDefault="00BD7136" w:rsidP="009C757F">
            <w:pPr>
              <w:spacing w:before="240"/>
              <w:jc w:val="center"/>
              <w:rPr>
                <w:color w:val="000000" w:themeColor="text1"/>
                <w:sz w:val="20"/>
                <w:szCs w:val="20"/>
              </w:rPr>
            </w:pPr>
          </w:p>
        </w:tc>
        <w:tc>
          <w:tcPr>
            <w:tcW w:w="1744" w:type="dxa"/>
          </w:tcPr>
          <w:p w:rsidR="00BD7136" w:rsidRPr="00EC6265" w:rsidRDefault="00BD7136" w:rsidP="009C757F">
            <w:pPr>
              <w:spacing w:before="240"/>
              <w:jc w:val="center"/>
              <w:rPr>
                <w:color w:val="000000" w:themeColor="text1"/>
                <w:sz w:val="20"/>
                <w:szCs w:val="20"/>
              </w:rPr>
            </w:pPr>
          </w:p>
        </w:tc>
        <w:tc>
          <w:tcPr>
            <w:tcW w:w="1306" w:type="dxa"/>
          </w:tcPr>
          <w:p w:rsidR="00BD7136" w:rsidRPr="00EC6265" w:rsidRDefault="00BD7136" w:rsidP="009C757F">
            <w:pPr>
              <w:spacing w:before="240"/>
              <w:jc w:val="center"/>
              <w:rPr>
                <w:color w:val="000000" w:themeColor="text1"/>
                <w:sz w:val="20"/>
                <w:szCs w:val="20"/>
              </w:rPr>
            </w:pPr>
            <w:r w:rsidRPr="00EC6265">
              <w:rPr>
                <w:color w:val="000000" w:themeColor="text1"/>
                <w:sz w:val="20"/>
                <w:szCs w:val="20"/>
              </w:rPr>
              <w:t>Non-Chol (n=2)</w:t>
            </w:r>
          </w:p>
        </w:tc>
        <w:tc>
          <w:tcPr>
            <w:tcW w:w="1527" w:type="dxa"/>
            <w:gridSpan w:val="2"/>
          </w:tcPr>
          <w:p w:rsidR="00BD7136" w:rsidRPr="00EC6265" w:rsidRDefault="00BD7136" w:rsidP="009C757F">
            <w:pPr>
              <w:spacing w:before="240"/>
              <w:jc w:val="center"/>
              <w:rPr>
                <w:color w:val="000000" w:themeColor="text1"/>
                <w:sz w:val="20"/>
                <w:szCs w:val="20"/>
              </w:rPr>
            </w:pPr>
            <w:r w:rsidRPr="00EC6265">
              <w:rPr>
                <w:color w:val="000000" w:themeColor="text1"/>
                <w:sz w:val="20"/>
                <w:szCs w:val="20"/>
              </w:rPr>
              <w:t>100%</w:t>
            </w:r>
          </w:p>
        </w:tc>
        <w:tc>
          <w:tcPr>
            <w:tcW w:w="1450" w:type="dxa"/>
          </w:tcPr>
          <w:p w:rsidR="00BD7136" w:rsidRPr="00736BA4" w:rsidRDefault="00BD7136" w:rsidP="009C757F">
            <w:pPr>
              <w:spacing w:before="240"/>
              <w:jc w:val="center"/>
              <w:rPr>
                <w:sz w:val="20"/>
                <w:szCs w:val="20"/>
              </w:rPr>
            </w:pPr>
            <w:r w:rsidRPr="00736BA4">
              <w:rPr>
                <w:sz w:val="20"/>
                <w:szCs w:val="20"/>
              </w:rPr>
              <w:t>-</w:t>
            </w:r>
          </w:p>
        </w:tc>
        <w:tc>
          <w:tcPr>
            <w:tcW w:w="1615" w:type="dxa"/>
            <w:gridSpan w:val="2"/>
          </w:tcPr>
          <w:p w:rsidR="00BD7136" w:rsidRPr="00736BA4" w:rsidRDefault="00BD7136" w:rsidP="009C757F">
            <w:pPr>
              <w:spacing w:before="240"/>
              <w:jc w:val="center"/>
              <w:rPr>
                <w:sz w:val="20"/>
                <w:szCs w:val="20"/>
              </w:rPr>
            </w:pPr>
            <w:r>
              <w:rPr>
                <w:sz w:val="20"/>
                <w:szCs w:val="20"/>
              </w:rPr>
              <w:t>= -</w:t>
            </w:r>
            <w:r w:rsidRPr="00736BA4">
              <w:rPr>
                <w:sz w:val="20"/>
                <w:szCs w:val="20"/>
              </w:rPr>
              <w:t>8.0</w:t>
            </w:r>
            <w:r>
              <w:rPr>
                <w:sz w:val="20"/>
                <w:szCs w:val="20"/>
              </w:rPr>
              <w:t xml:space="preserve"> </w:t>
            </w:r>
            <w:r w:rsidRPr="00736BA4">
              <w:rPr>
                <w:sz w:val="20"/>
                <w:szCs w:val="20"/>
              </w:rPr>
              <w:t>±</w:t>
            </w:r>
            <w:r>
              <w:rPr>
                <w:sz w:val="20"/>
                <w:szCs w:val="20"/>
              </w:rPr>
              <w:t xml:space="preserve"> </w:t>
            </w:r>
            <w:r w:rsidRPr="00736BA4">
              <w:rPr>
                <w:sz w:val="20"/>
                <w:szCs w:val="20"/>
              </w:rPr>
              <w:t>1.0</w:t>
            </w:r>
          </w:p>
        </w:tc>
      </w:tr>
      <w:tr w:rsidR="00BD7136" w:rsidRPr="00B216A4">
        <w:tc>
          <w:tcPr>
            <w:tcW w:w="1594" w:type="dxa"/>
          </w:tcPr>
          <w:p w:rsidR="00BD7136" w:rsidRPr="00EC6265" w:rsidRDefault="00BD7136" w:rsidP="009C757F">
            <w:pPr>
              <w:spacing w:before="240"/>
              <w:jc w:val="center"/>
              <w:rPr>
                <w:color w:val="000000" w:themeColor="text1"/>
                <w:sz w:val="20"/>
                <w:szCs w:val="20"/>
              </w:rPr>
            </w:pPr>
          </w:p>
        </w:tc>
        <w:tc>
          <w:tcPr>
            <w:tcW w:w="1744" w:type="dxa"/>
          </w:tcPr>
          <w:p w:rsidR="00BD7136" w:rsidRPr="00EC6265" w:rsidRDefault="00BD7136" w:rsidP="009C757F">
            <w:pPr>
              <w:spacing w:before="240"/>
              <w:jc w:val="center"/>
              <w:rPr>
                <w:color w:val="000000" w:themeColor="text1"/>
                <w:sz w:val="20"/>
                <w:szCs w:val="20"/>
              </w:rPr>
            </w:pPr>
            <w:r w:rsidRPr="00EC6265">
              <w:rPr>
                <w:color w:val="000000" w:themeColor="text1"/>
                <w:sz w:val="20"/>
                <w:szCs w:val="20"/>
              </w:rPr>
              <w:t>PPT</w:t>
            </w:r>
          </w:p>
        </w:tc>
        <w:tc>
          <w:tcPr>
            <w:tcW w:w="1306" w:type="dxa"/>
          </w:tcPr>
          <w:p w:rsidR="00BD7136" w:rsidRPr="00EC6265" w:rsidRDefault="00BD7136" w:rsidP="009C757F">
            <w:pPr>
              <w:spacing w:before="240"/>
              <w:jc w:val="center"/>
              <w:rPr>
                <w:color w:val="000000" w:themeColor="text1"/>
                <w:sz w:val="20"/>
                <w:szCs w:val="20"/>
              </w:rPr>
            </w:pPr>
            <w:r w:rsidRPr="00EC6265">
              <w:rPr>
                <w:color w:val="000000" w:themeColor="text1"/>
                <w:sz w:val="20"/>
                <w:szCs w:val="20"/>
              </w:rPr>
              <w:t>Chol (n=2)</w:t>
            </w:r>
          </w:p>
        </w:tc>
        <w:tc>
          <w:tcPr>
            <w:tcW w:w="1527" w:type="dxa"/>
            <w:gridSpan w:val="2"/>
          </w:tcPr>
          <w:p w:rsidR="00BD7136" w:rsidRPr="00EC6265" w:rsidRDefault="00BD7136" w:rsidP="009C757F">
            <w:pPr>
              <w:spacing w:before="240"/>
              <w:jc w:val="center"/>
              <w:rPr>
                <w:color w:val="000000" w:themeColor="text1"/>
                <w:sz w:val="20"/>
                <w:szCs w:val="20"/>
              </w:rPr>
            </w:pPr>
            <w:r w:rsidRPr="00EC6265">
              <w:rPr>
                <w:color w:val="000000" w:themeColor="text1"/>
                <w:sz w:val="20"/>
                <w:szCs w:val="20"/>
              </w:rPr>
              <w:t>100%</w:t>
            </w:r>
          </w:p>
        </w:tc>
        <w:tc>
          <w:tcPr>
            <w:tcW w:w="1450" w:type="dxa"/>
          </w:tcPr>
          <w:p w:rsidR="00BD7136" w:rsidRPr="00736BA4" w:rsidRDefault="00BD7136" w:rsidP="009C757F">
            <w:pPr>
              <w:spacing w:before="240"/>
              <w:jc w:val="center"/>
              <w:rPr>
                <w:sz w:val="20"/>
                <w:szCs w:val="20"/>
              </w:rPr>
            </w:pPr>
            <w:r w:rsidRPr="00736BA4">
              <w:rPr>
                <w:sz w:val="20"/>
                <w:szCs w:val="20"/>
              </w:rPr>
              <w:t>-</w:t>
            </w:r>
          </w:p>
        </w:tc>
        <w:tc>
          <w:tcPr>
            <w:tcW w:w="1615" w:type="dxa"/>
            <w:gridSpan w:val="2"/>
          </w:tcPr>
          <w:p w:rsidR="00BD7136" w:rsidRPr="00736BA4" w:rsidRDefault="00BD7136" w:rsidP="009C757F">
            <w:pPr>
              <w:spacing w:before="240"/>
              <w:jc w:val="center"/>
              <w:rPr>
                <w:sz w:val="20"/>
                <w:szCs w:val="20"/>
              </w:rPr>
            </w:pPr>
            <w:r>
              <w:rPr>
                <w:sz w:val="20"/>
                <w:szCs w:val="20"/>
              </w:rPr>
              <w:t>= -</w:t>
            </w:r>
            <w:r w:rsidRPr="00736BA4">
              <w:rPr>
                <w:sz w:val="20"/>
                <w:szCs w:val="20"/>
              </w:rPr>
              <w:t>9.0</w:t>
            </w:r>
            <w:r>
              <w:rPr>
                <w:sz w:val="20"/>
                <w:szCs w:val="20"/>
              </w:rPr>
              <w:t xml:space="preserve"> </w:t>
            </w:r>
            <w:r w:rsidRPr="00736BA4">
              <w:rPr>
                <w:sz w:val="20"/>
                <w:szCs w:val="20"/>
              </w:rPr>
              <w:t>±</w:t>
            </w:r>
            <w:r>
              <w:rPr>
                <w:sz w:val="20"/>
                <w:szCs w:val="20"/>
              </w:rPr>
              <w:t xml:space="preserve"> </w:t>
            </w:r>
            <w:r w:rsidRPr="00736BA4">
              <w:rPr>
                <w:sz w:val="20"/>
                <w:szCs w:val="20"/>
              </w:rPr>
              <w:t>2.0</w:t>
            </w:r>
          </w:p>
        </w:tc>
      </w:tr>
      <w:tr w:rsidR="00BD7136" w:rsidRPr="00B216A4">
        <w:tc>
          <w:tcPr>
            <w:tcW w:w="1594" w:type="dxa"/>
          </w:tcPr>
          <w:p w:rsidR="00BD7136" w:rsidRPr="00EC6265" w:rsidRDefault="00BD7136" w:rsidP="009C757F">
            <w:pPr>
              <w:spacing w:before="240"/>
              <w:rPr>
                <w:color w:val="000000" w:themeColor="text1"/>
                <w:sz w:val="20"/>
                <w:szCs w:val="20"/>
              </w:rPr>
            </w:pPr>
            <w:r w:rsidRPr="00EC6265">
              <w:rPr>
                <w:color w:val="000000" w:themeColor="text1"/>
                <w:sz w:val="20"/>
                <w:szCs w:val="20"/>
              </w:rPr>
              <w:t>α-syn</w:t>
            </w:r>
            <w:r w:rsidRPr="00EC6265">
              <w:rPr>
                <w:color w:val="000000" w:themeColor="text1"/>
                <w:sz w:val="20"/>
                <w:szCs w:val="20"/>
                <w:vertAlign w:val="subscript"/>
              </w:rPr>
              <w:t>M</w:t>
            </w:r>
          </w:p>
        </w:tc>
        <w:tc>
          <w:tcPr>
            <w:tcW w:w="1744" w:type="dxa"/>
          </w:tcPr>
          <w:p w:rsidR="00BD7136" w:rsidRPr="000A5F52" w:rsidRDefault="00BD7136" w:rsidP="009C757F">
            <w:pPr>
              <w:spacing w:before="240" w:after="240"/>
              <w:jc w:val="center"/>
              <w:rPr>
                <w:color w:val="000000" w:themeColor="text1"/>
                <w:sz w:val="20"/>
                <w:szCs w:val="20"/>
              </w:rPr>
            </w:pPr>
          </w:p>
        </w:tc>
        <w:tc>
          <w:tcPr>
            <w:tcW w:w="1306" w:type="dxa"/>
          </w:tcPr>
          <w:p w:rsidR="00BD7136" w:rsidRPr="000A5F52" w:rsidRDefault="00BD7136" w:rsidP="009C757F">
            <w:pPr>
              <w:spacing w:before="240" w:after="240"/>
              <w:jc w:val="center"/>
              <w:rPr>
                <w:color w:val="000000" w:themeColor="text1"/>
                <w:sz w:val="20"/>
                <w:szCs w:val="20"/>
              </w:rPr>
            </w:pPr>
            <w:r w:rsidRPr="000A5F52">
              <w:rPr>
                <w:color w:val="000000" w:themeColor="text1"/>
                <w:sz w:val="20"/>
                <w:szCs w:val="20"/>
              </w:rPr>
              <w:t>Non-Chol (n=2)</w:t>
            </w:r>
          </w:p>
        </w:tc>
        <w:tc>
          <w:tcPr>
            <w:tcW w:w="1527" w:type="dxa"/>
            <w:gridSpan w:val="2"/>
          </w:tcPr>
          <w:p w:rsidR="00BD7136" w:rsidRPr="000A5F52" w:rsidRDefault="00BD7136" w:rsidP="009C757F">
            <w:pPr>
              <w:spacing w:before="240" w:after="240"/>
              <w:jc w:val="center"/>
              <w:rPr>
                <w:color w:val="000000" w:themeColor="text1"/>
                <w:sz w:val="20"/>
                <w:szCs w:val="20"/>
              </w:rPr>
            </w:pPr>
            <w:r w:rsidRPr="000A5F52">
              <w:rPr>
                <w:color w:val="000000" w:themeColor="text1"/>
                <w:sz w:val="20"/>
                <w:szCs w:val="20"/>
              </w:rPr>
              <w:t>100%</w:t>
            </w:r>
          </w:p>
        </w:tc>
        <w:tc>
          <w:tcPr>
            <w:tcW w:w="1450" w:type="dxa"/>
          </w:tcPr>
          <w:p w:rsidR="00BD7136" w:rsidRPr="000A5F52" w:rsidRDefault="00BD7136" w:rsidP="009C757F">
            <w:pPr>
              <w:spacing w:before="240" w:after="240"/>
              <w:jc w:val="center"/>
              <w:rPr>
                <w:sz w:val="20"/>
                <w:szCs w:val="20"/>
              </w:rPr>
            </w:pPr>
            <w:r w:rsidRPr="000A5F52">
              <w:rPr>
                <w:sz w:val="20"/>
                <w:szCs w:val="20"/>
              </w:rPr>
              <w:t>-</w:t>
            </w:r>
          </w:p>
        </w:tc>
        <w:tc>
          <w:tcPr>
            <w:tcW w:w="1615" w:type="dxa"/>
            <w:gridSpan w:val="2"/>
          </w:tcPr>
          <w:p w:rsidR="00BD7136" w:rsidRPr="000A5F52" w:rsidRDefault="00BD7136" w:rsidP="009C757F">
            <w:pPr>
              <w:spacing w:before="240" w:after="240"/>
              <w:jc w:val="center"/>
              <w:rPr>
                <w:sz w:val="20"/>
                <w:szCs w:val="20"/>
              </w:rPr>
            </w:pPr>
            <w:r w:rsidRPr="000A5F52">
              <w:rPr>
                <w:sz w:val="20"/>
                <w:szCs w:val="20"/>
              </w:rPr>
              <w:t>=  -9.5 ± 2.5</w:t>
            </w:r>
          </w:p>
        </w:tc>
      </w:tr>
      <w:tr w:rsidR="00BD7136" w:rsidRPr="00B216A4">
        <w:tc>
          <w:tcPr>
            <w:tcW w:w="1594" w:type="dxa"/>
          </w:tcPr>
          <w:p w:rsidR="00BD7136" w:rsidRPr="00EC6265" w:rsidRDefault="00BD7136" w:rsidP="009C757F">
            <w:pPr>
              <w:spacing w:before="240"/>
              <w:jc w:val="center"/>
              <w:rPr>
                <w:color w:val="000000" w:themeColor="text1"/>
                <w:sz w:val="20"/>
                <w:szCs w:val="20"/>
              </w:rPr>
            </w:pPr>
          </w:p>
        </w:tc>
        <w:tc>
          <w:tcPr>
            <w:tcW w:w="1744" w:type="dxa"/>
          </w:tcPr>
          <w:p w:rsidR="00BD7136" w:rsidRPr="003B0828" w:rsidRDefault="00BD7136" w:rsidP="009C757F">
            <w:pPr>
              <w:spacing w:before="240"/>
              <w:jc w:val="center"/>
              <w:rPr>
                <w:color w:val="000000" w:themeColor="text1"/>
                <w:sz w:val="20"/>
                <w:szCs w:val="20"/>
              </w:rPr>
            </w:pPr>
            <w:r w:rsidRPr="003B0828">
              <w:rPr>
                <w:color w:val="000000" w:themeColor="text1"/>
                <w:sz w:val="20"/>
                <w:szCs w:val="20"/>
              </w:rPr>
              <w:t>SN</w:t>
            </w:r>
          </w:p>
        </w:tc>
        <w:tc>
          <w:tcPr>
            <w:tcW w:w="1306" w:type="dxa"/>
          </w:tcPr>
          <w:p w:rsidR="00BD7136" w:rsidRPr="000A5F52" w:rsidRDefault="00BD7136" w:rsidP="009C757F">
            <w:pPr>
              <w:spacing w:before="240"/>
              <w:jc w:val="center"/>
              <w:rPr>
                <w:color w:val="000000" w:themeColor="text1"/>
                <w:sz w:val="20"/>
                <w:szCs w:val="20"/>
              </w:rPr>
            </w:pPr>
            <w:r w:rsidRPr="000A5F52">
              <w:rPr>
                <w:color w:val="000000" w:themeColor="text1"/>
                <w:sz w:val="20"/>
                <w:szCs w:val="20"/>
              </w:rPr>
              <w:t>DA (n = 7)</w:t>
            </w:r>
          </w:p>
        </w:tc>
        <w:tc>
          <w:tcPr>
            <w:tcW w:w="1527" w:type="dxa"/>
            <w:gridSpan w:val="2"/>
          </w:tcPr>
          <w:p w:rsidR="00BD7136" w:rsidRPr="000A5F52" w:rsidRDefault="00BD7136" w:rsidP="009C757F">
            <w:pPr>
              <w:spacing w:before="240"/>
              <w:jc w:val="center"/>
              <w:rPr>
                <w:color w:val="000000" w:themeColor="text1"/>
                <w:sz w:val="20"/>
                <w:szCs w:val="20"/>
              </w:rPr>
            </w:pPr>
            <w:r w:rsidRPr="000A5F52">
              <w:rPr>
                <w:color w:val="000000" w:themeColor="text1"/>
                <w:sz w:val="20"/>
                <w:szCs w:val="20"/>
              </w:rPr>
              <w:t>57.1%</w:t>
            </w:r>
          </w:p>
        </w:tc>
        <w:tc>
          <w:tcPr>
            <w:tcW w:w="1450" w:type="dxa"/>
          </w:tcPr>
          <w:p w:rsidR="00BD7136" w:rsidRPr="000A5F52" w:rsidRDefault="00BD7136" w:rsidP="009C757F">
            <w:pPr>
              <w:spacing w:before="240"/>
              <w:jc w:val="center"/>
              <w:rPr>
                <w:color w:val="000000" w:themeColor="text1"/>
                <w:sz w:val="20"/>
                <w:szCs w:val="20"/>
              </w:rPr>
            </w:pPr>
            <w:r w:rsidRPr="000A5F52">
              <w:rPr>
                <w:color w:val="000000" w:themeColor="text1"/>
                <w:sz w:val="20"/>
                <w:szCs w:val="20"/>
              </w:rPr>
              <w:t>42.9%</w:t>
            </w:r>
          </w:p>
        </w:tc>
        <w:tc>
          <w:tcPr>
            <w:tcW w:w="1615" w:type="dxa"/>
            <w:gridSpan w:val="2"/>
          </w:tcPr>
          <w:p w:rsidR="00BD7136" w:rsidRPr="000A5F52" w:rsidRDefault="00BD7136" w:rsidP="009C757F">
            <w:pPr>
              <w:spacing w:before="240"/>
              <w:jc w:val="center"/>
              <w:rPr>
                <w:color w:val="000000" w:themeColor="text1"/>
                <w:sz w:val="20"/>
                <w:szCs w:val="20"/>
              </w:rPr>
            </w:pPr>
            <w:r w:rsidRPr="000A5F52">
              <w:rPr>
                <w:color w:val="000000" w:themeColor="text1"/>
                <w:sz w:val="20"/>
                <w:szCs w:val="20"/>
              </w:rPr>
              <w:t>16.5 ± 5.3</w:t>
            </w:r>
          </w:p>
        </w:tc>
      </w:tr>
      <w:tr w:rsidR="00BD7136" w:rsidRPr="00B216A4">
        <w:tc>
          <w:tcPr>
            <w:tcW w:w="1594" w:type="dxa"/>
            <w:tcBorders>
              <w:bottom w:val="single" w:sz="4" w:space="0" w:color="auto"/>
            </w:tcBorders>
          </w:tcPr>
          <w:p w:rsidR="00BD7136" w:rsidRPr="003B0828" w:rsidRDefault="00BD7136" w:rsidP="009C757F">
            <w:pPr>
              <w:spacing w:before="240" w:after="240"/>
              <w:jc w:val="center"/>
              <w:rPr>
                <w:color w:val="000000" w:themeColor="text1"/>
                <w:sz w:val="20"/>
                <w:szCs w:val="20"/>
              </w:rPr>
            </w:pPr>
          </w:p>
        </w:tc>
        <w:tc>
          <w:tcPr>
            <w:tcW w:w="1744" w:type="dxa"/>
            <w:tcBorders>
              <w:bottom w:val="single" w:sz="4" w:space="0" w:color="auto"/>
            </w:tcBorders>
          </w:tcPr>
          <w:p w:rsidR="00BD7136" w:rsidRPr="003B0828" w:rsidRDefault="00BD7136" w:rsidP="009C757F">
            <w:pPr>
              <w:spacing w:before="240" w:after="240"/>
              <w:jc w:val="center"/>
              <w:rPr>
                <w:color w:val="000000" w:themeColor="text1"/>
                <w:sz w:val="20"/>
                <w:szCs w:val="20"/>
              </w:rPr>
            </w:pPr>
          </w:p>
        </w:tc>
        <w:tc>
          <w:tcPr>
            <w:tcW w:w="1306" w:type="dxa"/>
            <w:tcBorders>
              <w:bottom w:val="single" w:sz="4" w:space="0" w:color="auto"/>
            </w:tcBorders>
          </w:tcPr>
          <w:p w:rsidR="00BD7136" w:rsidRPr="000A5F52" w:rsidRDefault="00BD7136" w:rsidP="009C757F">
            <w:pPr>
              <w:spacing w:before="240" w:after="240"/>
              <w:jc w:val="center"/>
              <w:rPr>
                <w:color w:val="000000" w:themeColor="text1"/>
                <w:sz w:val="20"/>
                <w:szCs w:val="20"/>
              </w:rPr>
            </w:pPr>
            <w:r w:rsidRPr="000A5F52">
              <w:rPr>
                <w:color w:val="000000" w:themeColor="text1"/>
                <w:sz w:val="20"/>
                <w:szCs w:val="20"/>
              </w:rPr>
              <w:t>Non-DA (n = 4)</w:t>
            </w:r>
          </w:p>
        </w:tc>
        <w:tc>
          <w:tcPr>
            <w:tcW w:w="1527" w:type="dxa"/>
            <w:gridSpan w:val="2"/>
            <w:tcBorders>
              <w:bottom w:val="single" w:sz="4" w:space="0" w:color="auto"/>
            </w:tcBorders>
          </w:tcPr>
          <w:p w:rsidR="00BD7136" w:rsidRPr="000A5F52" w:rsidRDefault="00BD7136" w:rsidP="009C757F">
            <w:pPr>
              <w:spacing w:before="240" w:after="240"/>
              <w:jc w:val="center"/>
              <w:rPr>
                <w:color w:val="000000" w:themeColor="text1"/>
                <w:sz w:val="20"/>
                <w:szCs w:val="20"/>
              </w:rPr>
            </w:pPr>
            <w:r w:rsidRPr="000A5F52">
              <w:rPr>
                <w:color w:val="000000" w:themeColor="text1"/>
                <w:sz w:val="20"/>
                <w:szCs w:val="20"/>
              </w:rPr>
              <w:t>50%</w:t>
            </w:r>
          </w:p>
        </w:tc>
        <w:tc>
          <w:tcPr>
            <w:tcW w:w="1450" w:type="dxa"/>
            <w:tcBorders>
              <w:bottom w:val="single" w:sz="4" w:space="0" w:color="auto"/>
            </w:tcBorders>
          </w:tcPr>
          <w:p w:rsidR="00BD7136" w:rsidRPr="000A5F52" w:rsidRDefault="00BD7136" w:rsidP="009C757F">
            <w:pPr>
              <w:spacing w:before="240" w:after="240"/>
              <w:jc w:val="center"/>
              <w:rPr>
                <w:color w:val="000000" w:themeColor="text1"/>
                <w:sz w:val="20"/>
                <w:szCs w:val="20"/>
              </w:rPr>
            </w:pPr>
            <w:r w:rsidRPr="000A5F52">
              <w:rPr>
                <w:color w:val="000000" w:themeColor="text1"/>
                <w:sz w:val="20"/>
                <w:szCs w:val="20"/>
              </w:rPr>
              <w:t>50%</w:t>
            </w:r>
          </w:p>
        </w:tc>
        <w:tc>
          <w:tcPr>
            <w:tcW w:w="1615" w:type="dxa"/>
            <w:gridSpan w:val="2"/>
            <w:tcBorders>
              <w:bottom w:val="single" w:sz="4" w:space="0" w:color="auto"/>
            </w:tcBorders>
          </w:tcPr>
          <w:p w:rsidR="00BD7136" w:rsidRPr="000A5F52" w:rsidRDefault="00BD7136" w:rsidP="009C757F">
            <w:pPr>
              <w:spacing w:before="240" w:after="240"/>
              <w:jc w:val="center"/>
              <w:rPr>
                <w:color w:val="000000" w:themeColor="text1"/>
                <w:sz w:val="20"/>
                <w:szCs w:val="20"/>
              </w:rPr>
            </w:pPr>
            <w:r w:rsidRPr="000A5F52">
              <w:rPr>
                <w:color w:val="000000" w:themeColor="text1"/>
                <w:sz w:val="20"/>
                <w:szCs w:val="20"/>
              </w:rPr>
              <w:t>12.5 ± 7.5</w:t>
            </w:r>
          </w:p>
        </w:tc>
      </w:tr>
      <w:tr w:rsidR="00BD7136" w:rsidRPr="00B216A4">
        <w:tc>
          <w:tcPr>
            <w:tcW w:w="1594" w:type="dxa"/>
            <w:tcBorders>
              <w:top w:val="single" w:sz="4" w:space="0" w:color="auto"/>
            </w:tcBorders>
          </w:tcPr>
          <w:p w:rsidR="00BD7136" w:rsidRPr="00B216A4" w:rsidRDefault="00BD7136" w:rsidP="009C757F">
            <w:pPr>
              <w:spacing w:before="240"/>
              <w:jc w:val="center"/>
              <w:rPr>
                <w:sz w:val="20"/>
                <w:szCs w:val="20"/>
              </w:rPr>
            </w:pPr>
          </w:p>
        </w:tc>
        <w:tc>
          <w:tcPr>
            <w:tcW w:w="1744" w:type="dxa"/>
            <w:tcBorders>
              <w:top w:val="single" w:sz="4" w:space="0" w:color="auto"/>
            </w:tcBorders>
          </w:tcPr>
          <w:p w:rsidR="00BD7136" w:rsidRPr="000A5F52" w:rsidRDefault="00BD7136" w:rsidP="009C757F">
            <w:pPr>
              <w:spacing w:before="240"/>
              <w:jc w:val="center"/>
              <w:rPr>
                <w:sz w:val="20"/>
                <w:szCs w:val="20"/>
              </w:rPr>
            </w:pPr>
            <w:r w:rsidRPr="000A5F52">
              <w:rPr>
                <w:sz w:val="20"/>
                <w:szCs w:val="20"/>
              </w:rPr>
              <w:t>LDT</w:t>
            </w:r>
          </w:p>
        </w:tc>
        <w:tc>
          <w:tcPr>
            <w:tcW w:w="1306" w:type="dxa"/>
            <w:tcBorders>
              <w:top w:val="single" w:sz="4" w:space="0" w:color="auto"/>
            </w:tcBorders>
          </w:tcPr>
          <w:p w:rsidR="00BD7136" w:rsidRPr="000A5F52" w:rsidRDefault="00BD7136" w:rsidP="009C757F">
            <w:pPr>
              <w:spacing w:before="240"/>
              <w:jc w:val="center"/>
              <w:rPr>
                <w:sz w:val="20"/>
                <w:szCs w:val="20"/>
              </w:rPr>
            </w:pPr>
            <w:r w:rsidRPr="000A5F52">
              <w:rPr>
                <w:sz w:val="20"/>
                <w:szCs w:val="20"/>
              </w:rPr>
              <w:t>Chol (n=5)</w:t>
            </w:r>
          </w:p>
        </w:tc>
        <w:tc>
          <w:tcPr>
            <w:tcW w:w="1527" w:type="dxa"/>
            <w:gridSpan w:val="2"/>
            <w:tcBorders>
              <w:top w:val="single" w:sz="4" w:space="0" w:color="auto"/>
            </w:tcBorders>
          </w:tcPr>
          <w:p w:rsidR="00BD7136" w:rsidRPr="000A5F52" w:rsidRDefault="00BD7136" w:rsidP="009C757F">
            <w:pPr>
              <w:spacing w:before="240"/>
              <w:jc w:val="center"/>
              <w:rPr>
                <w:sz w:val="20"/>
                <w:szCs w:val="20"/>
              </w:rPr>
            </w:pPr>
            <w:r w:rsidRPr="000A5F52">
              <w:rPr>
                <w:sz w:val="20"/>
                <w:szCs w:val="20"/>
              </w:rPr>
              <w:t>100%</w:t>
            </w:r>
          </w:p>
        </w:tc>
        <w:tc>
          <w:tcPr>
            <w:tcW w:w="1450" w:type="dxa"/>
            <w:tcBorders>
              <w:top w:val="single" w:sz="4" w:space="0" w:color="auto"/>
            </w:tcBorders>
          </w:tcPr>
          <w:p w:rsidR="00BD7136" w:rsidRPr="000A5F52" w:rsidRDefault="00BD7136" w:rsidP="009C757F">
            <w:pPr>
              <w:spacing w:before="240"/>
              <w:jc w:val="center"/>
              <w:rPr>
                <w:color w:val="000000" w:themeColor="text1"/>
                <w:sz w:val="20"/>
                <w:szCs w:val="20"/>
              </w:rPr>
            </w:pPr>
            <w:r w:rsidRPr="000A5F52">
              <w:rPr>
                <w:color w:val="000000" w:themeColor="text1"/>
                <w:sz w:val="20"/>
                <w:szCs w:val="20"/>
              </w:rPr>
              <w:t>-</w:t>
            </w:r>
          </w:p>
        </w:tc>
        <w:tc>
          <w:tcPr>
            <w:tcW w:w="1615" w:type="dxa"/>
            <w:gridSpan w:val="2"/>
            <w:tcBorders>
              <w:top w:val="single" w:sz="4" w:space="0" w:color="auto"/>
            </w:tcBorders>
          </w:tcPr>
          <w:p w:rsidR="00BD7136" w:rsidRPr="000A5F52" w:rsidRDefault="00BD7136" w:rsidP="009C757F">
            <w:pPr>
              <w:spacing w:before="240"/>
              <w:jc w:val="center"/>
              <w:rPr>
                <w:color w:val="000000" w:themeColor="text1"/>
                <w:sz w:val="20"/>
                <w:szCs w:val="20"/>
              </w:rPr>
            </w:pPr>
            <w:r w:rsidRPr="000A5F52">
              <w:rPr>
                <w:color w:val="000000" w:themeColor="text1"/>
                <w:sz w:val="20"/>
                <w:szCs w:val="20"/>
              </w:rPr>
              <w:t xml:space="preserve">= -7.5 </w:t>
            </w:r>
            <w:r w:rsidRPr="000A5F52">
              <w:rPr>
                <w:sz w:val="20"/>
                <w:szCs w:val="20"/>
              </w:rPr>
              <w:t>± 1.4</w:t>
            </w:r>
          </w:p>
        </w:tc>
      </w:tr>
      <w:tr w:rsidR="00BD7136" w:rsidRPr="00B216A4">
        <w:tc>
          <w:tcPr>
            <w:tcW w:w="1594" w:type="dxa"/>
          </w:tcPr>
          <w:p w:rsidR="00BD7136" w:rsidRPr="00B216A4" w:rsidRDefault="00BD7136" w:rsidP="009C757F">
            <w:pPr>
              <w:spacing w:before="240"/>
              <w:jc w:val="center"/>
              <w:rPr>
                <w:sz w:val="20"/>
                <w:szCs w:val="20"/>
              </w:rPr>
            </w:pPr>
          </w:p>
        </w:tc>
        <w:tc>
          <w:tcPr>
            <w:tcW w:w="1744" w:type="dxa"/>
          </w:tcPr>
          <w:p w:rsidR="00BD7136" w:rsidRPr="000A5F52" w:rsidRDefault="00BD7136" w:rsidP="009C757F">
            <w:pPr>
              <w:spacing w:before="240"/>
              <w:jc w:val="center"/>
              <w:rPr>
                <w:sz w:val="20"/>
                <w:szCs w:val="20"/>
              </w:rPr>
            </w:pPr>
          </w:p>
        </w:tc>
        <w:tc>
          <w:tcPr>
            <w:tcW w:w="1306" w:type="dxa"/>
          </w:tcPr>
          <w:p w:rsidR="00BD7136" w:rsidRPr="000A5F52" w:rsidRDefault="00BD7136" w:rsidP="009C757F">
            <w:pPr>
              <w:spacing w:before="240"/>
              <w:jc w:val="center"/>
              <w:rPr>
                <w:sz w:val="20"/>
                <w:szCs w:val="20"/>
              </w:rPr>
            </w:pPr>
            <w:r w:rsidRPr="000A5F52">
              <w:rPr>
                <w:sz w:val="20"/>
                <w:szCs w:val="20"/>
              </w:rPr>
              <w:t>Non-Chol (n=2)</w:t>
            </w:r>
          </w:p>
        </w:tc>
        <w:tc>
          <w:tcPr>
            <w:tcW w:w="1527" w:type="dxa"/>
            <w:gridSpan w:val="2"/>
          </w:tcPr>
          <w:p w:rsidR="00BD7136" w:rsidRPr="000A5F52" w:rsidRDefault="00BD7136" w:rsidP="009C757F">
            <w:pPr>
              <w:spacing w:before="240"/>
              <w:jc w:val="center"/>
              <w:rPr>
                <w:sz w:val="20"/>
                <w:szCs w:val="20"/>
              </w:rPr>
            </w:pPr>
            <w:r w:rsidRPr="000A5F52">
              <w:rPr>
                <w:sz w:val="20"/>
                <w:szCs w:val="20"/>
              </w:rPr>
              <w:t>100%</w:t>
            </w:r>
          </w:p>
        </w:tc>
        <w:tc>
          <w:tcPr>
            <w:tcW w:w="1450" w:type="dxa"/>
          </w:tcPr>
          <w:p w:rsidR="00BD7136" w:rsidRPr="000A5F52" w:rsidRDefault="00BD7136" w:rsidP="009C757F">
            <w:pPr>
              <w:spacing w:before="240"/>
              <w:jc w:val="center"/>
              <w:rPr>
                <w:color w:val="000000" w:themeColor="text1"/>
                <w:sz w:val="20"/>
                <w:szCs w:val="20"/>
              </w:rPr>
            </w:pPr>
            <w:r w:rsidRPr="000A5F52">
              <w:rPr>
                <w:color w:val="000000" w:themeColor="text1"/>
                <w:sz w:val="20"/>
                <w:szCs w:val="20"/>
              </w:rPr>
              <w:t>-</w:t>
            </w:r>
          </w:p>
        </w:tc>
        <w:tc>
          <w:tcPr>
            <w:tcW w:w="1615" w:type="dxa"/>
            <w:gridSpan w:val="2"/>
          </w:tcPr>
          <w:p w:rsidR="00BD7136" w:rsidRPr="000A5F52" w:rsidRDefault="00BD7136" w:rsidP="009C757F">
            <w:pPr>
              <w:spacing w:before="240"/>
              <w:jc w:val="center"/>
              <w:rPr>
                <w:color w:val="000000" w:themeColor="text1"/>
                <w:sz w:val="20"/>
                <w:szCs w:val="20"/>
              </w:rPr>
            </w:pPr>
            <w:r w:rsidRPr="000A5F52">
              <w:rPr>
                <w:color w:val="000000" w:themeColor="text1"/>
                <w:sz w:val="20"/>
                <w:szCs w:val="20"/>
              </w:rPr>
              <w:t>= -8.3 ± 1.0</w:t>
            </w:r>
          </w:p>
        </w:tc>
      </w:tr>
      <w:tr w:rsidR="00BD7136" w:rsidRPr="00B216A4">
        <w:tc>
          <w:tcPr>
            <w:tcW w:w="1594" w:type="dxa"/>
          </w:tcPr>
          <w:p w:rsidR="00BD7136" w:rsidRPr="00673D67" w:rsidRDefault="00BD7136" w:rsidP="009C757F">
            <w:pPr>
              <w:spacing w:before="240"/>
              <w:jc w:val="center"/>
              <w:rPr>
                <w:sz w:val="20"/>
                <w:szCs w:val="20"/>
              </w:rPr>
            </w:pPr>
          </w:p>
        </w:tc>
        <w:tc>
          <w:tcPr>
            <w:tcW w:w="1744" w:type="dxa"/>
          </w:tcPr>
          <w:p w:rsidR="00BD7136" w:rsidRPr="000A5F52" w:rsidRDefault="00BD7136" w:rsidP="009C757F">
            <w:pPr>
              <w:spacing w:before="240"/>
              <w:jc w:val="center"/>
              <w:rPr>
                <w:sz w:val="20"/>
                <w:szCs w:val="20"/>
              </w:rPr>
            </w:pPr>
            <w:r w:rsidRPr="000A5F52">
              <w:rPr>
                <w:sz w:val="20"/>
                <w:szCs w:val="20"/>
              </w:rPr>
              <w:t>PPT</w:t>
            </w:r>
          </w:p>
        </w:tc>
        <w:tc>
          <w:tcPr>
            <w:tcW w:w="1306" w:type="dxa"/>
          </w:tcPr>
          <w:p w:rsidR="00BD7136" w:rsidRPr="000A5F52" w:rsidRDefault="00BD7136" w:rsidP="009C757F">
            <w:pPr>
              <w:spacing w:before="240"/>
              <w:jc w:val="center"/>
              <w:rPr>
                <w:sz w:val="20"/>
                <w:szCs w:val="20"/>
              </w:rPr>
            </w:pPr>
            <w:r w:rsidRPr="000A5F52">
              <w:rPr>
                <w:sz w:val="20"/>
                <w:szCs w:val="20"/>
              </w:rPr>
              <w:t>Chol (n = 3)</w:t>
            </w:r>
          </w:p>
        </w:tc>
        <w:tc>
          <w:tcPr>
            <w:tcW w:w="1527" w:type="dxa"/>
            <w:gridSpan w:val="2"/>
          </w:tcPr>
          <w:p w:rsidR="00BD7136" w:rsidRPr="000A5F52" w:rsidRDefault="00BD7136" w:rsidP="009C757F">
            <w:pPr>
              <w:spacing w:before="240"/>
              <w:jc w:val="center"/>
              <w:rPr>
                <w:sz w:val="20"/>
                <w:szCs w:val="20"/>
              </w:rPr>
            </w:pPr>
            <w:r w:rsidRPr="000A5F52">
              <w:rPr>
                <w:sz w:val="20"/>
                <w:szCs w:val="20"/>
              </w:rPr>
              <w:t>100%</w:t>
            </w:r>
          </w:p>
        </w:tc>
        <w:tc>
          <w:tcPr>
            <w:tcW w:w="1450" w:type="dxa"/>
          </w:tcPr>
          <w:p w:rsidR="00BD7136" w:rsidRPr="000A5F52" w:rsidRDefault="00BD7136" w:rsidP="009C757F">
            <w:pPr>
              <w:spacing w:before="240"/>
              <w:jc w:val="center"/>
              <w:rPr>
                <w:color w:val="000000" w:themeColor="text1"/>
                <w:sz w:val="20"/>
                <w:szCs w:val="20"/>
              </w:rPr>
            </w:pPr>
            <w:r w:rsidRPr="000A5F52">
              <w:rPr>
                <w:color w:val="000000" w:themeColor="text1"/>
                <w:sz w:val="20"/>
                <w:szCs w:val="20"/>
              </w:rPr>
              <w:t>-</w:t>
            </w:r>
          </w:p>
        </w:tc>
        <w:tc>
          <w:tcPr>
            <w:tcW w:w="1615" w:type="dxa"/>
            <w:gridSpan w:val="2"/>
          </w:tcPr>
          <w:p w:rsidR="00BD7136" w:rsidRPr="000A5F52" w:rsidRDefault="00BD7136" w:rsidP="009C757F">
            <w:pPr>
              <w:spacing w:before="240"/>
              <w:jc w:val="center"/>
              <w:rPr>
                <w:color w:val="000000" w:themeColor="text1"/>
                <w:sz w:val="20"/>
                <w:szCs w:val="20"/>
              </w:rPr>
            </w:pPr>
            <w:r w:rsidRPr="000A5F52">
              <w:rPr>
                <w:color w:val="000000" w:themeColor="text1"/>
                <w:sz w:val="20"/>
                <w:szCs w:val="20"/>
              </w:rPr>
              <w:t>= -9.8 ± 3.0</w:t>
            </w:r>
          </w:p>
        </w:tc>
      </w:tr>
      <w:tr w:rsidR="00BD7136" w:rsidRPr="00B216A4">
        <w:tc>
          <w:tcPr>
            <w:tcW w:w="1594" w:type="dxa"/>
          </w:tcPr>
          <w:p w:rsidR="00BD7136" w:rsidRPr="00B216A4" w:rsidRDefault="00BD7136" w:rsidP="009C757F">
            <w:pPr>
              <w:spacing w:before="240" w:after="240"/>
              <w:jc w:val="center"/>
              <w:rPr>
                <w:sz w:val="20"/>
                <w:szCs w:val="20"/>
              </w:rPr>
            </w:pPr>
            <w:r>
              <w:rPr>
                <w:sz w:val="20"/>
                <w:szCs w:val="20"/>
              </w:rPr>
              <w:t>α-syn</w:t>
            </w:r>
            <w:r>
              <w:rPr>
                <w:sz w:val="20"/>
                <w:szCs w:val="20"/>
                <w:vertAlign w:val="subscript"/>
              </w:rPr>
              <w:t>F</w:t>
            </w:r>
          </w:p>
        </w:tc>
        <w:tc>
          <w:tcPr>
            <w:tcW w:w="1744" w:type="dxa"/>
          </w:tcPr>
          <w:p w:rsidR="00BD7136" w:rsidRPr="000A5F52" w:rsidRDefault="00BD7136" w:rsidP="009C757F">
            <w:pPr>
              <w:spacing w:before="240" w:after="240"/>
              <w:jc w:val="center"/>
              <w:rPr>
                <w:sz w:val="20"/>
                <w:szCs w:val="20"/>
              </w:rPr>
            </w:pPr>
          </w:p>
        </w:tc>
        <w:tc>
          <w:tcPr>
            <w:tcW w:w="1306" w:type="dxa"/>
          </w:tcPr>
          <w:p w:rsidR="00BD7136" w:rsidRPr="000A5F52" w:rsidRDefault="00BD7136" w:rsidP="009C757F">
            <w:pPr>
              <w:spacing w:before="240" w:after="240"/>
              <w:jc w:val="center"/>
              <w:rPr>
                <w:sz w:val="20"/>
                <w:szCs w:val="20"/>
              </w:rPr>
            </w:pPr>
            <w:r w:rsidRPr="000A5F52">
              <w:rPr>
                <w:color w:val="000000" w:themeColor="text1"/>
                <w:sz w:val="20"/>
                <w:szCs w:val="20"/>
              </w:rPr>
              <w:t>Non-Chol (n=2)</w:t>
            </w:r>
          </w:p>
        </w:tc>
        <w:tc>
          <w:tcPr>
            <w:tcW w:w="1527" w:type="dxa"/>
            <w:gridSpan w:val="2"/>
          </w:tcPr>
          <w:p w:rsidR="00BD7136" w:rsidRPr="000A5F52" w:rsidRDefault="00BD7136" w:rsidP="009C757F">
            <w:pPr>
              <w:spacing w:before="240" w:after="240"/>
              <w:jc w:val="center"/>
              <w:rPr>
                <w:sz w:val="20"/>
                <w:szCs w:val="20"/>
              </w:rPr>
            </w:pPr>
            <w:r w:rsidRPr="000A5F52">
              <w:rPr>
                <w:sz w:val="20"/>
                <w:szCs w:val="20"/>
              </w:rPr>
              <w:t>100%</w:t>
            </w:r>
          </w:p>
        </w:tc>
        <w:tc>
          <w:tcPr>
            <w:tcW w:w="1450" w:type="dxa"/>
          </w:tcPr>
          <w:p w:rsidR="00BD7136" w:rsidRPr="000A5F52" w:rsidRDefault="00BD7136" w:rsidP="009C757F">
            <w:pPr>
              <w:spacing w:before="240" w:after="240"/>
              <w:jc w:val="center"/>
              <w:rPr>
                <w:color w:val="000000" w:themeColor="text1"/>
                <w:sz w:val="20"/>
                <w:szCs w:val="20"/>
              </w:rPr>
            </w:pPr>
            <w:r w:rsidRPr="000A5F52">
              <w:rPr>
                <w:color w:val="000000" w:themeColor="text1"/>
                <w:sz w:val="20"/>
                <w:szCs w:val="20"/>
              </w:rPr>
              <w:t>-</w:t>
            </w:r>
          </w:p>
        </w:tc>
        <w:tc>
          <w:tcPr>
            <w:tcW w:w="1615" w:type="dxa"/>
            <w:gridSpan w:val="2"/>
          </w:tcPr>
          <w:p w:rsidR="00BD7136" w:rsidRPr="000A5F52" w:rsidRDefault="00BD7136" w:rsidP="009C757F">
            <w:pPr>
              <w:spacing w:before="240" w:after="240"/>
              <w:jc w:val="center"/>
              <w:rPr>
                <w:color w:val="000000" w:themeColor="text1"/>
                <w:sz w:val="20"/>
                <w:szCs w:val="20"/>
              </w:rPr>
            </w:pPr>
            <w:r w:rsidRPr="000A5F52">
              <w:rPr>
                <w:color w:val="000000" w:themeColor="text1"/>
                <w:sz w:val="20"/>
                <w:szCs w:val="20"/>
              </w:rPr>
              <w:t>= -8.5 ± 3.2</w:t>
            </w:r>
          </w:p>
        </w:tc>
      </w:tr>
      <w:tr w:rsidR="00BD7136" w:rsidRPr="00037E14">
        <w:tc>
          <w:tcPr>
            <w:tcW w:w="1594" w:type="dxa"/>
          </w:tcPr>
          <w:p w:rsidR="00BD7136" w:rsidRPr="003B0828" w:rsidRDefault="00BD7136" w:rsidP="009C757F">
            <w:pPr>
              <w:spacing w:before="240"/>
              <w:jc w:val="center"/>
              <w:rPr>
                <w:color w:val="000000" w:themeColor="text1"/>
                <w:sz w:val="20"/>
                <w:szCs w:val="20"/>
              </w:rPr>
            </w:pPr>
          </w:p>
        </w:tc>
        <w:tc>
          <w:tcPr>
            <w:tcW w:w="1744" w:type="dxa"/>
          </w:tcPr>
          <w:p w:rsidR="00BD7136" w:rsidRPr="003B0828" w:rsidRDefault="00BD7136" w:rsidP="009C757F">
            <w:pPr>
              <w:spacing w:before="240"/>
              <w:jc w:val="center"/>
              <w:rPr>
                <w:color w:val="000000" w:themeColor="text1"/>
                <w:sz w:val="20"/>
                <w:szCs w:val="20"/>
              </w:rPr>
            </w:pPr>
            <w:r w:rsidRPr="003B0828">
              <w:rPr>
                <w:color w:val="000000" w:themeColor="text1"/>
                <w:sz w:val="20"/>
                <w:szCs w:val="20"/>
              </w:rPr>
              <w:t>SN</w:t>
            </w:r>
          </w:p>
        </w:tc>
        <w:tc>
          <w:tcPr>
            <w:tcW w:w="1590" w:type="dxa"/>
            <w:gridSpan w:val="2"/>
          </w:tcPr>
          <w:p w:rsidR="00BD7136" w:rsidRPr="00861808" w:rsidRDefault="00BD7136" w:rsidP="009C757F">
            <w:pPr>
              <w:spacing w:before="240"/>
              <w:jc w:val="center"/>
              <w:rPr>
                <w:color w:val="000000" w:themeColor="text1"/>
                <w:sz w:val="20"/>
                <w:szCs w:val="20"/>
              </w:rPr>
            </w:pPr>
            <w:r w:rsidRPr="00861808">
              <w:rPr>
                <w:color w:val="000000" w:themeColor="text1"/>
                <w:sz w:val="20"/>
                <w:szCs w:val="20"/>
              </w:rPr>
              <w:t>DA (n</w:t>
            </w:r>
            <w:r>
              <w:rPr>
                <w:color w:val="000000" w:themeColor="text1"/>
                <w:sz w:val="20"/>
                <w:szCs w:val="20"/>
              </w:rPr>
              <w:t xml:space="preserve"> </w:t>
            </w:r>
            <w:r w:rsidRPr="00861808">
              <w:rPr>
                <w:color w:val="000000" w:themeColor="text1"/>
                <w:sz w:val="20"/>
                <w:szCs w:val="20"/>
              </w:rPr>
              <w:t>=</w:t>
            </w:r>
            <w:r>
              <w:rPr>
                <w:color w:val="000000" w:themeColor="text1"/>
                <w:sz w:val="20"/>
                <w:szCs w:val="20"/>
              </w:rPr>
              <w:t xml:space="preserve"> </w:t>
            </w:r>
            <w:r w:rsidRPr="00861808">
              <w:rPr>
                <w:color w:val="000000" w:themeColor="text1"/>
                <w:sz w:val="20"/>
                <w:szCs w:val="20"/>
              </w:rPr>
              <w:t>5)</w:t>
            </w:r>
          </w:p>
        </w:tc>
        <w:tc>
          <w:tcPr>
            <w:tcW w:w="1243" w:type="dxa"/>
          </w:tcPr>
          <w:p w:rsidR="00BD7136" w:rsidRPr="003B0828" w:rsidRDefault="00BD7136" w:rsidP="009C757F">
            <w:pPr>
              <w:spacing w:before="240"/>
              <w:jc w:val="center"/>
              <w:rPr>
                <w:color w:val="000000" w:themeColor="text1"/>
                <w:sz w:val="20"/>
                <w:szCs w:val="20"/>
              </w:rPr>
            </w:pPr>
            <w:r>
              <w:rPr>
                <w:color w:val="000000" w:themeColor="text1"/>
                <w:sz w:val="20"/>
                <w:szCs w:val="20"/>
              </w:rPr>
              <w:t>100%</w:t>
            </w:r>
          </w:p>
        </w:tc>
        <w:tc>
          <w:tcPr>
            <w:tcW w:w="1640" w:type="dxa"/>
            <w:gridSpan w:val="2"/>
          </w:tcPr>
          <w:p w:rsidR="00BD7136" w:rsidRPr="003B0828" w:rsidRDefault="00BD7136" w:rsidP="009C757F">
            <w:pPr>
              <w:spacing w:before="240"/>
              <w:jc w:val="center"/>
              <w:rPr>
                <w:color w:val="000000" w:themeColor="text1"/>
                <w:sz w:val="20"/>
                <w:szCs w:val="20"/>
              </w:rPr>
            </w:pPr>
            <w:r>
              <w:rPr>
                <w:color w:val="000000" w:themeColor="text1"/>
                <w:sz w:val="20"/>
                <w:szCs w:val="20"/>
              </w:rPr>
              <w:t>-</w:t>
            </w:r>
          </w:p>
        </w:tc>
        <w:tc>
          <w:tcPr>
            <w:tcW w:w="1425" w:type="dxa"/>
          </w:tcPr>
          <w:p w:rsidR="00BD7136" w:rsidRPr="003B0828" w:rsidRDefault="00BD7136" w:rsidP="009C757F">
            <w:pPr>
              <w:spacing w:before="240"/>
              <w:jc w:val="center"/>
              <w:rPr>
                <w:color w:val="000000" w:themeColor="text1"/>
                <w:sz w:val="20"/>
                <w:szCs w:val="20"/>
              </w:rPr>
            </w:pPr>
            <w:r>
              <w:rPr>
                <w:color w:val="000000" w:themeColor="text1"/>
                <w:sz w:val="20"/>
                <w:szCs w:val="20"/>
              </w:rPr>
              <w:t xml:space="preserve">35.6 </w:t>
            </w:r>
            <w:r w:rsidRPr="003B0828">
              <w:rPr>
                <w:color w:val="000000" w:themeColor="text1"/>
                <w:sz w:val="20"/>
                <w:szCs w:val="20"/>
              </w:rPr>
              <w:t>±</w:t>
            </w:r>
            <w:r>
              <w:rPr>
                <w:color w:val="000000" w:themeColor="text1"/>
                <w:sz w:val="20"/>
                <w:szCs w:val="20"/>
              </w:rPr>
              <w:t xml:space="preserve"> </w:t>
            </w:r>
            <w:r w:rsidRPr="003B0828">
              <w:rPr>
                <w:color w:val="000000" w:themeColor="text1"/>
                <w:sz w:val="20"/>
                <w:szCs w:val="20"/>
              </w:rPr>
              <w:t>5.</w:t>
            </w:r>
            <w:r>
              <w:rPr>
                <w:color w:val="000000" w:themeColor="text1"/>
                <w:sz w:val="20"/>
                <w:szCs w:val="20"/>
              </w:rPr>
              <w:t>3</w:t>
            </w:r>
          </w:p>
        </w:tc>
      </w:tr>
      <w:tr w:rsidR="00BD7136" w:rsidRPr="00B216A4">
        <w:tc>
          <w:tcPr>
            <w:tcW w:w="1594" w:type="dxa"/>
            <w:tcBorders>
              <w:bottom w:val="single" w:sz="4" w:space="0" w:color="auto"/>
            </w:tcBorders>
          </w:tcPr>
          <w:p w:rsidR="00BD7136" w:rsidRPr="003B0828" w:rsidRDefault="00BD7136" w:rsidP="009C757F">
            <w:pPr>
              <w:spacing w:before="240" w:after="240"/>
              <w:jc w:val="center"/>
              <w:rPr>
                <w:color w:val="000000" w:themeColor="text1"/>
                <w:sz w:val="20"/>
                <w:szCs w:val="20"/>
              </w:rPr>
            </w:pPr>
          </w:p>
        </w:tc>
        <w:tc>
          <w:tcPr>
            <w:tcW w:w="1744" w:type="dxa"/>
            <w:tcBorders>
              <w:bottom w:val="single" w:sz="4" w:space="0" w:color="auto"/>
            </w:tcBorders>
          </w:tcPr>
          <w:p w:rsidR="00BD7136" w:rsidRPr="003B0828" w:rsidRDefault="00BD7136" w:rsidP="009C757F">
            <w:pPr>
              <w:spacing w:before="240" w:after="240"/>
              <w:jc w:val="center"/>
              <w:rPr>
                <w:color w:val="000000" w:themeColor="text1"/>
                <w:sz w:val="20"/>
                <w:szCs w:val="20"/>
              </w:rPr>
            </w:pPr>
          </w:p>
        </w:tc>
        <w:tc>
          <w:tcPr>
            <w:tcW w:w="1590" w:type="dxa"/>
            <w:gridSpan w:val="2"/>
            <w:tcBorders>
              <w:bottom w:val="single" w:sz="4" w:space="0" w:color="auto"/>
            </w:tcBorders>
          </w:tcPr>
          <w:p w:rsidR="00BD7136" w:rsidRPr="00861808" w:rsidRDefault="00BD7136" w:rsidP="009C757F">
            <w:pPr>
              <w:spacing w:before="240" w:after="240"/>
              <w:jc w:val="center"/>
              <w:rPr>
                <w:color w:val="000000" w:themeColor="text1"/>
                <w:sz w:val="20"/>
                <w:szCs w:val="20"/>
              </w:rPr>
            </w:pPr>
            <w:r w:rsidRPr="00861808">
              <w:rPr>
                <w:color w:val="000000" w:themeColor="text1"/>
                <w:sz w:val="20"/>
                <w:szCs w:val="20"/>
              </w:rPr>
              <w:t>Non-DA (n</w:t>
            </w:r>
            <w:r>
              <w:rPr>
                <w:color w:val="000000" w:themeColor="text1"/>
                <w:sz w:val="20"/>
                <w:szCs w:val="20"/>
              </w:rPr>
              <w:t xml:space="preserve"> </w:t>
            </w:r>
            <w:r w:rsidRPr="00861808">
              <w:rPr>
                <w:color w:val="000000" w:themeColor="text1"/>
                <w:sz w:val="20"/>
                <w:szCs w:val="20"/>
              </w:rPr>
              <w:t>=</w:t>
            </w:r>
            <w:r>
              <w:rPr>
                <w:color w:val="000000" w:themeColor="text1"/>
                <w:sz w:val="20"/>
                <w:szCs w:val="20"/>
              </w:rPr>
              <w:t xml:space="preserve"> </w:t>
            </w:r>
            <w:r w:rsidRPr="00861808">
              <w:rPr>
                <w:color w:val="000000" w:themeColor="text1"/>
                <w:sz w:val="20"/>
                <w:szCs w:val="20"/>
              </w:rPr>
              <w:t>2)</w:t>
            </w:r>
          </w:p>
        </w:tc>
        <w:tc>
          <w:tcPr>
            <w:tcW w:w="1243" w:type="dxa"/>
            <w:tcBorders>
              <w:bottom w:val="single" w:sz="4" w:space="0" w:color="auto"/>
            </w:tcBorders>
          </w:tcPr>
          <w:p w:rsidR="00BD7136" w:rsidRPr="003B0828" w:rsidRDefault="00BD7136" w:rsidP="009C757F">
            <w:pPr>
              <w:spacing w:before="240" w:after="240"/>
              <w:jc w:val="center"/>
              <w:rPr>
                <w:color w:val="000000" w:themeColor="text1"/>
                <w:sz w:val="20"/>
                <w:szCs w:val="20"/>
              </w:rPr>
            </w:pPr>
            <w:r w:rsidRPr="003B0828">
              <w:rPr>
                <w:color w:val="000000" w:themeColor="text1"/>
                <w:sz w:val="20"/>
                <w:szCs w:val="20"/>
              </w:rPr>
              <w:t>100%</w:t>
            </w:r>
          </w:p>
        </w:tc>
        <w:tc>
          <w:tcPr>
            <w:tcW w:w="1640" w:type="dxa"/>
            <w:gridSpan w:val="2"/>
            <w:tcBorders>
              <w:bottom w:val="single" w:sz="4" w:space="0" w:color="auto"/>
            </w:tcBorders>
          </w:tcPr>
          <w:p w:rsidR="00BD7136" w:rsidRPr="003B0828" w:rsidRDefault="00BD7136" w:rsidP="009C757F">
            <w:pPr>
              <w:spacing w:before="240" w:after="240"/>
              <w:jc w:val="center"/>
              <w:rPr>
                <w:color w:val="000000" w:themeColor="text1"/>
                <w:sz w:val="20"/>
                <w:szCs w:val="20"/>
              </w:rPr>
            </w:pPr>
            <w:r w:rsidRPr="003B0828">
              <w:rPr>
                <w:color w:val="000000" w:themeColor="text1"/>
                <w:sz w:val="20"/>
                <w:szCs w:val="20"/>
              </w:rPr>
              <w:t>-</w:t>
            </w:r>
          </w:p>
        </w:tc>
        <w:tc>
          <w:tcPr>
            <w:tcW w:w="1425" w:type="dxa"/>
            <w:tcBorders>
              <w:bottom w:val="single" w:sz="4" w:space="0" w:color="auto"/>
            </w:tcBorders>
          </w:tcPr>
          <w:p w:rsidR="00BD7136" w:rsidRPr="003B0828" w:rsidRDefault="00BD7136" w:rsidP="009C757F">
            <w:pPr>
              <w:spacing w:before="240" w:after="240"/>
              <w:jc w:val="center"/>
              <w:rPr>
                <w:color w:val="000000" w:themeColor="text1"/>
                <w:sz w:val="20"/>
                <w:szCs w:val="20"/>
              </w:rPr>
            </w:pPr>
            <w:r>
              <w:rPr>
                <w:color w:val="000000" w:themeColor="text1"/>
                <w:sz w:val="20"/>
                <w:szCs w:val="20"/>
              </w:rPr>
              <w:t>29.0 ± 9</w:t>
            </w:r>
            <w:r w:rsidRPr="003B0828">
              <w:rPr>
                <w:color w:val="000000" w:themeColor="text1"/>
                <w:sz w:val="20"/>
                <w:szCs w:val="20"/>
              </w:rPr>
              <w:t>.</w:t>
            </w:r>
            <w:r>
              <w:rPr>
                <w:color w:val="000000" w:themeColor="text1"/>
                <w:sz w:val="20"/>
                <w:szCs w:val="20"/>
              </w:rPr>
              <w:t>0</w:t>
            </w:r>
          </w:p>
        </w:tc>
      </w:tr>
    </w:tbl>
    <w:p w:rsidR="00BD7136" w:rsidRPr="00D856A9" w:rsidRDefault="00BD7136" w:rsidP="00BD7136">
      <w:pPr>
        <w:jc w:val="both"/>
      </w:pPr>
      <w:r w:rsidRPr="00D856A9">
        <w:t xml:space="preserve">SN- Substantia Nigra; DA- Dopaminergic; LDT- Laterodorsal Tegmentum; PPT- Pedunculopontine Tegmentum;  </w:t>
      </w:r>
      <w:r w:rsidRPr="00D856A9">
        <w:rPr>
          <w:color w:val="000000" w:themeColor="text1"/>
          <w:szCs w:val="20"/>
        </w:rPr>
        <w:t xml:space="preserve">Chol- Cholinergic; </w:t>
      </w:r>
      <w:r w:rsidRPr="00D856A9">
        <w:t>α-syn</w:t>
      </w:r>
      <w:r w:rsidRPr="00D856A9">
        <w:rPr>
          <w:vertAlign w:val="subscript"/>
        </w:rPr>
        <w:t>M</w:t>
      </w:r>
      <w:r w:rsidRPr="00D856A9">
        <w:t>- monomeric form of α-syn; α-syn</w:t>
      </w:r>
      <w:r w:rsidRPr="00D856A9">
        <w:rPr>
          <w:vertAlign w:val="subscript"/>
        </w:rPr>
        <w:t>F</w:t>
      </w:r>
      <w:r w:rsidRPr="00D856A9">
        <w:t>-</w:t>
      </w:r>
      <w:r w:rsidRPr="00D856A9">
        <w:rPr>
          <w:vertAlign w:val="subscript"/>
        </w:rPr>
        <w:t xml:space="preserve">  </w:t>
      </w:r>
      <w:r w:rsidRPr="00D856A9">
        <w:t xml:space="preserve">fibril form of α-syn </w:t>
      </w:r>
    </w:p>
    <w:p w:rsidR="00BD7136" w:rsidRDefault="00BD7136" w:rsidP="00BD7136">
      <w:pPr>
        <w:jc w:val="both"/>
        <w:rPr>
          <w:color w:val="FF0000"/>
          <w:lang w:val="en-US"/>
        </w:rPr>
      </w:pPr>
    </w:p>
    <w:p w:rsidR="00BD7136" w:rsidRPr="009C757F" w:rsidRDefault="00BD7136" w:rsidP="00BD7136">
      <w:pPr>
        <w:jc w:val="both"/>
        <w:rPr>
          <w:lang w:val="en-US"/>
        </w:rPr>
      </w:pPr>
      <w:r w:rsidRPr="009C757F">
        <w:rPr>
          <w:lang w:val="en-US"/>
        </w:rPr>
        <w:t>Legend for Supplemental Table 1.</w:t>
      </w:r>
    </w:p>
    <w:p w:rsidR="00BD7136" w:rsidRPr="009C757F" w:rsidRDefault="00BD7136" w:rsidP="00736E2A">
      <w:pPr>
        <w:jc w:val="both"/>
        <w:rPr>
          <w:lang w:val="en-US"/>
        </w:rPr>
      </w:pPr>
      <w:r w:rsidRPr="009C757F">
        <w:rPr>
          <w:lang w:val="en-US"/>
        </w:rPr>
        <w:t>Determination of recorded LDT and PPT neurons as</w:t>
      </w:r>
      <w:r w:rsidR="00736E2A" w:rsidRPr="009C757F">
        <w:rPr>
          <w:lang w:val="en-US"/>
        </w:rPr>
        <w:t xml:space="preserve"> cholinergic or non-cholinergic</w:t>
      </w:r>
      <w:r w:rsidRPr="009C757F">
        <w:rPr>
          <w:lang w:val="en-US"/>
        </w:rPr>
        <w:t>, and identification of SN neurons as dopami</w:t>
      </w:r>
      <w:r w:rsidR="00736E2A" w:rsidRPr="009C757F">
        <w:rPr>
          <w:lang w:val="en-US"/>
        </w:rPr>
        <w:t>nergic (DA) or non-dopaminergic</w:t>
      </w:r>
      <w:r w:rsidRPr="009C757F">
        <w:rPr>
          <w:lang w:val="en-US"/>
        </w:rPr>
        <w:t xml:space="preserve"> revealed that the membrane effects induced by both forms of the peptide in these nuclei were independent of cell phenotype. To identify recorded cells as </w:t>
      </w:r>
      <w:r w:rsidR="00736E2A" w:rsidRPr="009C757F">
        <w:rPr>
          <w:lang w:val="en-US"/>
        </w:rPr>
        <w:t xml:space="preserve">cholinergic or non-cholinergic, </w:t>
      </w:r>
      <w:r w:rsidRPr="009C757F">
        <w:rPr>
          <w:lang w:val="en-US"/>
        </w:rPr>
        <w:t xml:space="preserve">neurons were filled with </w:t>
      </w:r>
      <w:r w:rsidR="00736E2A" w:rsidRPr="009C757F">
        <w:rPr>
          <w:lang w:val="en-US"/>
        </w:rPr>
        <w:t>Alexa-594 during the recordings which remained in the cell</w:t>
      </w:r>
      <w:r w:rsidRPr="009C757F">
        <w:rPr>
          <w:lang w:val="en-US"/>
        </w:rPr>
        <w:t xml:space="preserve">. Following </w:t>
      </w:r>
      <w:r w:rsidRPr="009C757F">
        <w:rPr>
          <w:i/>
          <w:lang w:val="en-US"/>
        </w:rPr>
        <w:t xml:space="preserve">post hoc </w:t>
      </w:r>
      <w:r w:rsidRPr="009C757F">
        <w:rPr>
          <w:lang w:val="en-US"/>
        </w:rPr>
        <w:t xml:space="preserve">immunohistochemical procedures, </w:t>
      </w:r>
      <w:r w:rsidR="00736E2A" w:rsidRPr="009C757F">
        <w:rPr>
          <w:lang w:val="en-US"/>
        </w:rPr>
        <w:t xml:space="preserve">Alexa-594-positive </w:t>
      </w:r>
      <w:r w:rsidRPr="009C757F">
        <w:rPr>
          <w:lang w:val="en-US"/>
        </w:rPr>
        <w:t xml:space="preserve">cells were determined to be cholinergic or non-cholinergic based on the presence or absence of brain-derived nitric oxide synthase (bNOS), respectively. Figure 1E shows two LDT neurons recorded in this study from two different brain slices in which monomeric </w:t>
      </w:r>
      <w:r w:rsidRPr="009C757F">
        <w:rPr>
          <w:rFonts w:cs="Times"/>
          <w:lang w:val="en-US"/>
        </w:rPr>
        <w:t>α</w:t>
      </w:r>
      <w:r w:rsidRPr="009C757F">
        <w:rPr>
          <w:lang w:val="en-US"/>
        </w:rPr>
        <w:t>-syn induced inward currents. Overlay of the two images as shown in the panels on the right indicates whether the recorded cell was bNOS-positive (recorded cell at arrow appears yellow; top panel), or negative (recorded cell at arro</w:t>
      </w:r>
      <w:r w:rsidR="00736E2A" w:rsidRPr="009C757F">
        <w:rPr>
          <w:lang w:val="en-US"/>
        </w:rPr>
        <w:t xml:space="preserve">w appears red; bottom panel).  </w:t>
      </w:r>
      <w:r w:rsidRPr="009C757F">
        <w:rPr>
          <w:lang w:val="en-US"/>
        </w:rPr>
        <w:t xml:space="preserve">As the Alexa-594-positive cell in the top row was also positive for bNOS, it was determined to be cholinergic, indicating cholinergic neurons could respond to </w:t>
      </w:r>
      <w:r w:rsidRPr="009C757F">
        <w:rPr>
          <w:rFonts w:cs="Times"/>
          <w:lang w:val="en-US"/>
        </w:rPr>
        <w:t>α</w:t>
      </w:r>
      <w:r w:rsidRPr="009C757F">
        <w:rPr>
          <w:lang w:val="en-US"/>
        </w:rPr>
        <w:t xml:space="preserve">-syn with inward currents.  The Alexa-594 cell in the bottom row was bNOS-negative, and therefore determined to be non-cholinergic, indicting that non-cholinergic neurons could also respond with inward currents to </w:t>
      </w:r>
      <w:r w:rsidRPr="009C757F">
        <w:rPr>
          <w:rFonts w:cs="Times"/>
          <w:lang w:val="en-US"/>
        </w:rPr>
        <w:t>α</w:t>
      </w:r>
      <w:r w:rsidRPr="009C757F">
        <w:rPr>
          <w:lang w:val="en-US"/>
        </w:rPr>
        <w:t>-syn. Dopaminergic (DA) neurons were distinguished from non-DA neurons by their exhibition of three electrophysiological characteristics: 1) slow, autonomous firing (&lt; 4-5 Hz) when depolarizing current was applied, 2) presence of I</w:t>
      </w:r>
      <w:r w:rsidRPr="009C757F">
        <w:rPr>
          <w:vertAlign w:val="subscript"/>
          <w:lang w:val="en-US"/>
        </w:rPr>
        <w:t>h</w:t>
      </w:r>
      <w:r w:rsidRPr="009C757F">
        <w:rPr>
          <w:lang w:val="en-US"/>
        </w:rPr>
        <w:t xml:space="preserve"> apparent as a prominent sag in the membrane potential during application of a 1-2 sec negative current step, and 3) cessation of action potential firing during a large-amplitude, sustained depolarizing current pulse (1-2 sec).  Classification of SN cells in this study followed previously published protocols</w:t>
      </w:r>
      <w:r w:rsidR="00736E2A" w:rsidRPr="009C757F">
        <w:rPr>
          <w:lang w:val="en-US"/>
        </w:rPr>
        <w:t xml:space="preserve"> and examples are shown in Figure 1F</w:t>
      </w:r>
      <w:r w:rsidRPr="009C757F">
        <w:rPr>
          <w:lang w:val="en-US"/>
        </w:rPr>
        <w:t xml:space="preserve"> </w:t>
      </w:r>
      <w:r w:rsidR="003F3439" w:rsidRPr="009C757F">
        <w:rPr>
          <w:lang w:val="en-US"/>
        </w:rPr>
        <w:fldChar w:fldCharType="begin" w:fldLock="1"/>
      </w:r>
      <w:r w:rsidRPr="009C757F">
        <w:rPr>
          <w:lang w:val="en-US"/>
        </w:rPr>
        <w:instrText>ADDIN CSL_CITATION {"citationItems":[{"id":"ITEM-1","itemData":{"DOI":"10.1523/JNEUROSCI.2961-09.2009","ISSN":"0270-6474","abstract":"Burst firing of substantia nigra dopamine (SN DA) neurons is believed to represent an important teaching signal that instructs synaptic plasticity and associative learning. However, the mechanisms through which synaptic excitation overcomes the limiting effects of somatic Ca2+-dependent K + current to generate burst firing are controversial. Modeling studies suggest that synaptic excitation sufficiently amplifies oscillatory dendritic Ca2+ and Na+ channel currents to lead to the initiation of high-frequency firing in SN DA neuron dendrites. To test this model, visually guided compartment-specific patch-clamp recording and ion channel manipulation were applied to rodent SN DA neurons in vitro. As suggested previously, the axon of SN DA neurons was typically found to originate from a large-diameter dendrite that was proximal to the soma. However, in contrast to the predictions of the model, (1) somatic current injection generated firing that was similar in frequency and form to burst firing in vivo, (2) the efficacy of glutamatergic excitation was inversely related to the distance of excitation from the axon, (3) pharmacological blockade or genetic deletion of Ca 2+ channels did not prevent high-frequency firing, (4) action potential bursts were invariably detected first at sites that were proximal to the axon, and (5) pharmacological blockade of Na+ channels in the vicinity of the axon/soma but not dendritic excitation impaired burst firing. Together, these data suggest that SN DA neurons integrate their synaptic input in a more conventional manner than was hypothesized previously. Copyright © 2009 Society for Neuroscience.","author":[{"dropping-particle":"","family":"Blythe","given":"Sarah N.","non-dropping-particle":"","parse-names":false,"suffix":""},{"dropping-particle":"","family":"Wokosin","given":"David","non-dropping-particle":"","parse-names":false,"suffix":""},{"dropping-particle":"","family":"Atherton","given":"Jeremy F.","non-dropping-particle":"","parse-names":false,"suffix":""},{"dropping-particle":"","family":"Bevan","given":"Mark D.","non-dropping-particle":"","parse-names":false,"suffix":""}],"container-title":"Journal of Neuroscience","id":"ITEM-1","issue":"49","issued":{"date-parts":[["2009","12","9"]]},"page":"15531-15541","title":"Cellular Mechanisms Underlying Burst Firing in Substantia Nigra Dopamine Neurons","type":"article-journal","volume":"29"},"uris":["http://www.mendeley.com/documents/?uuid=878b66e7-bdc4-4b3b-ad2d-e09f71423e54"]}],"mendeley":{"formattedCitation":"(Blythe &lt;i&gt;et al.&lt;/i&gt;, 2009)","plainTextFormattedCitation":"(Blythe et al., 2009)","previouslyFormattedCitation":"(Blythe &lt;i&gt;et al.&lt;/i&gt;, 2009)"},"properties":{"noteIndex":0},"schema":"https://github.com/citation-style-language/schema/raw/master/csl-citation.json"}</w:instrText>
      </w:r>
      <w:r w:rsidR="003F3439" w:rsidRPr="009C757F">
        <w:rPr>
          <w:lang w:val="en-US"/>
        </w:rPr>
        <w:fldChar w:fldCharType="separate"/>
      </w:r>
      <w:r w:rsidRPr="009C757F">
        <w:rPr>
          <w:noProof/>
          <w:lang w:val="en-US"/>
        </w:rPr>
        <w:t xml:space="preserve">(Blythe </w:t>
      </w:r>
      <w:r w:rsidRPr="009C757F">
        <w:rPr>
          <w:i/>
          <w:noProof/>
          <w:lang w:val="en-US"/>
        </w:rPr>
        <w:t>et al.</w:t>
      </w:r>
      <w:r w:rsidRPr="009C757F">
        <w:rPr>
          <w:noProof/>
          <w:lang w:val="en-US"/>
        </w:rPr>
        <w:t>, 2009)</w:t>
      </w:r>
      <w:r w:rsidR="003F3439" w:rsidRPr="009C757F">
        <w:rPr>
          <w:lang w:val="en-US"/>
        </w:rPr>
        <w:fldChar w:fldCharType="end"/>
      </w:r>
      <w:r w:rsidRPr="009C757F">
        <w:rPr>
          <w:lang w:val="en-US"/>
        </w:rPr>
        <w:t>.</w:t>
      </w:r>
    </w:p>
    <w:sectPr w:rsidR="00BD7136" w:rsidRPr="009C757F" w:rsidSect="0091353A">
      <w:type w:val="continuous"/>
      <w:pgSz w:w="11900" w:h="16840"/>
      <w:pgMar w:top="1440" w:right="1797" w:bottom="1440" w:left="1797"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Segoe UI">
    <w:panose1 w:val="00000000000000000000"/>
    <w:charset w:val="4D"/>
    <w:family w:val="roman"/>
    <w:notTrueType/>
    <w:pitch w:val="default"/>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mbria Math">
    <w:altName w:val="Cambria"/>
    <w:panose1 w:val="00000000000000000000"/>
    <w:charset w:val="4D"/>
    <w:family w:val="roman"/>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BD7136"/>
    <w:rsid w:val="003F3439"/>
    <w:rsid w:val="007277EF"/>
    <w:rsid w:val="00736E2A"/>
    <w:rsid w:val="0091353A"/>
    <w:rsid w:val="009C757F"/>
    <w:rsid w:val="00BD7136"/>
    <w:rsid w:val="00E515D1"/>
  </w:rsids>
  <m:mathPr>
    <m:mathFont m:val="Calibri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3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7136"/>
    <w:rPr>
      <w:rFonts w:ascii="Times New Roman" w:eastAsia="Times New Roman" w:hAnsi="Times New Roman" w:cs="Times New Roman"/>
      <w:lang w:val="da-DK"/>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LineNumber">
    <w:name w:val="line number"/>
    <w:basedOn w:val="DefaultParagraphFont"/>
    <w:uiPriority w:val="99"/>
    <w:semiHidden/>
    <w:unhideWhenUsed/>
    <w:rsid w:val="00BD7136"/>
  </w:style>
  <w:style w:type="character" w:customStyle="1" w:styleId="CommentTextChar">
    <w:name w:val="Comment Text Char"/>
    <w:basedOn w:val="DefaultParagraphFont"/>
    <w:link w:val="CommentText"/>
    <w:uiPriority w:val="99"/>
    <w:semiHidden/>
    <w:rsid w:val="00BD7136"/>
    <w:rPr>
      <w:lang w:val="uz-Cyrl-UZ"/>
    </w:rPr>
  </w:style>
  <w:style w:type="paragraph" w:styleId="CommentText">
    <w:name w:val="annotation text"/>
    <w:basedOn w:val="Normal"/>
    <w:link w:val="CommentTextChar"/>
    <w:uiPriority w:val="99"/>
    <w:semiHidden/>
    <w:unhideWhenUsed/>
    <w:rsid w:val="00BD7136"/>
    <w:rPr>
      <w:rFonts w:asciiTheme="minorHAnsi" w:eastAsiaTheme="minorHAnsi" w:hAnsiTheme="minorHAnsi" w:cstheme="minorBidi"/>
      <w:lang w:val="uz-Cyrl-UZ"/>
    </w:rPr>
  </w:style>
  <w:style w:type="character" w:customStyle="1" w:styleId="BalloonTextChar">
    <w:name w:val="Balloon Text Char"/>
    <w:basedOn w:val="DefaultParagraphFont"/>
    <w:link w:val="BalloonText"/>
    <w:uiPriority w:val="99"/>
    <w:semiHidden/>
    <w:rsid w:val="00BD7136"/>
    <w:rPr>
      <w:rFonts w:ascii="Segoe UI" w:hAnsi="Segoe UI" w:cs="Segoe UI"/>
      <w:sz w:val="18"/>
      <w:szCs w:val="18"/>
      <w:lang w:val="uz-Cyrl-UZ"/>
    </w:rPr>
  </w:style>
  <w:style w:type="paragraph" w:styleId="BalloonText">
    <w:name w:val="Balloon Text"/>
    <w:basedOn w:val="Normal"/>
    <w:link w:val="BalloonTextChar"/>
    <w:uiPriority w:val="99"/>
    <w:semiHidden/>
    <w:unhideWhenUsed/>
    <w:rsid w:val="00BD7136"/>
    <w:rPr>
      <w:rFonts w:ascii="Segoe UI" w:eastAsiaTheme="minorHAnsi" w:hAnsi="Segoe UI" w:cs="Segoe UI"/>
      <w:sz w:val="18"/>
      <w:szCs w:val="18"/>
      <w:lang w:val="uz-Cyrl-UZ"/>
    </w:rPr>
  </w:style>
  <w:style w:type="character" w:customStyle="1" w:styleId="CommentSubjectChar">
    <w:name w:val="Comment Subject Char"/>
    <w:basedOn w:val="CommentTextChar"/>
    <w:link w:val="CommentSubject"/>
    <w:uiPriority w:val="99"/>
    <w:semiHidden/>
    <w:rsid w:val="00BD7136"/>
    <w:rPr>
      <w:b/>
      <w:bCs/>
      <w:sz w:val="20"/>
      <w:szCs w:val="20"/>
    </w:rPr>
  </w:style>
  <w:style w:type="paragraph" w:styleId="CommentSubject">
    <w:name w:val="annotation subject"/>
    <w:basedOn w:val="CommentText"/>
    <w:next w:val="CommentText"/>
    <w:link w:val="CommentSubjectChar"/>
    <w:uiPriority w:val="99"/>
    <w:semiHidden/>
    <w:unhideWhenUsed/>
    <w:rsid w:val="00BD7136"/>
    <w:rPr>
      <w:b/>
      <w:bCs/>
      <w:sz w:val="20"/>
      <w:szCs w:val="2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tiff"/><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5</Pages>
  <Words>2965</Words>
  <Characters>16903</Characters>
  <Application>Microsoft Macintosh Word</Application>
  <DocSecurity>0</DocSecurity>
  <Lines>140</Lines>
  <Paragraphs>33</Paragraphs>
  <ScaleCrop>false</ScaleCrop>
  <Company>University of Copenhagen</Company>
  <LinksUpToDate>false</LinksUpToDate>
  <CharactersWithSpaces>20758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 Kohlmeier</dc:creator>
  <cp:keywords/>
  <cp:lastModifiedBy>Kristi Kohlmeier</cp:lastModifiedBy>
  <cp:revision>5</cp:revision>
  <dcterms:created xsi:type="dcterms:W3CDTF">2020-12-08T11:11:00Z</dcterms:created>
  <dcterms:modified xsi:type="dcterms:W3CDTF">2020-12-08T13:01:00Z</dcterms:modified>
</cp:coreProperties>
</file>