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5D0" w:rsidRPr="0095175F" w:rsidRDefault="00C70067" w:rsidP="00E135D0">
      <w:pPr>
        <w:pStyle w:val="Caption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T</w:t>
      </w:r>
      <w:r w:rsidRPr="0095175F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A</w:t>
      </w:r>
      <w:r w:rsidR="00E14484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1</w:t>
      </w:r>
      <w:r w:rsidR="00E135D0" w:rsidRPr="0095175F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: Pesticide active </w:t>
      </w:r>
      <w:r w:rsidR="00E135D0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i</w:t>
      </w:r>
      <w:r w:rsidR="00E135D0" w:rsidRPr="0095175F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ngredients analysed in fruits and vegetables categorized by class, use and WHO classification. </w:t>
      </w:r>
    </w:p>
    <w:tbl>
      <w:tblPr>
        <w:tblStyle w:val="TableGrid"/>
        <w:tblW w:w="10200" w:type="dxa"/>
        <w:tblLook w:val="04A0" w:firstRow="1" w:lastRow="0" w:firstColumn="1" w:lastColumn="0" w:noHBand="0" w:noVBand="1"/>
      </w:tblPr>
      <w:tblGrid>
        <w:gridCol w:w="3280"/>
        <w:gridCol w:w="3140"/>
        <w:gridCol w:w="1620"/>
        <w:gridCol w:w="2160"/>
      </w:tblGrid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Pesticide Active Ingredient 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Class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Main Use 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WHO classification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Dithiocarbamates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Diothiocarbamates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Omethoate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Methamidophos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Acephate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Monocrotophos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Vamidothion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Dimethoate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Mevinphos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Phosphamidon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Fonofos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Azamethiphos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Dichlorvos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Malaoxon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Methidathion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Azinphosmethyl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Malathion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Methacrifos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Propetamophos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Triazophos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Mecarbam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Azinphosethyl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Isofenphosmethyl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Ethoprophos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Fenamiphos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Quinalphos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Coumaphos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AC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Chlorfenvinphos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Chlorpyriphos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-methyl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Temephos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Profenofos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Terbufos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Ethion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Phosalone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Pirimiphosmethyl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Fenitrothion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Chlorpyriphos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Diazinon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OP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Aminocarb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Methomyl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Aldicarb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Butocarboxim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Aldicarbfragment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Ia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Pirimicarb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Dioxacarb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Carbaryl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Carbofuran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Thiodicarb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Methiocarb 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Mercaptodimethur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Alanycarb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Benfuracarb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Carbosulfan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Methiocarb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Ib</w:t>
            </w:r>
            <w:proofErr w:type="spellEnd"/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Imidacloprid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Acetamiprid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Thiacloprid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Bifenthrin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LambdaCyhalothrin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Deltamethrin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Cypermethrin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Ethirimol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Pyrimidinol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Glyphosate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Phosphonoglycine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Carbendazim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Benzimidazole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Carboxin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Oxathiin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Imazalil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O (Imidazole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Diuron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Phenylamide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Metazachlor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(Chloroacetamide)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Metalaxyl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Phenylamide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Azaconazole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Triazole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Dimethachlor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(Chloroacetamide)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Clomazone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Isoxazolidinone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Azoxystrobin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Strobilurin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Pyrimethanil</w:t>
            </w:r>
            <w:proofErr w:type="spellEnd"/>
          </w:p>
        </w:tc>
        <w:tc>
          <w:tcPr>
            <w:tcW w:w="3140" w:type="dxa"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O ( Anilinopyrimidine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Fludioxonil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Phenylpyrrole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BosclidNicobifen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Carboxamide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Triadimenol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Triazole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Spirotetramat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Tetramic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 acid)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Fenhexamid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Hydroxyanilide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Fenarimol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O (Pyrimidine)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Fipronil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Phenylpyrazole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Bupirimate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Pyrimidinol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Flubendiamide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(Benzene-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dicarboxamide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Metolachlor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O (Chloroacetamide) 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Cyprodinil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(Anilinopyrimidine)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Benalaxyl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Acylamino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 xml:space="preserve"> acid)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Prochloraz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(Imidazole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Metconazole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Triazole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Fluazifop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Aryloxyphenoxypropionate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Diniconazole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Triazole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Flufenoxuron</w:t>
            </w:r>
          </w:p>
        </w:tc>
        <w:tc>
          <w:tcPr>
            <w:tcW w:w="3140" w:type="dxa"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 Benzoylurea)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Pyriproxyfen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(Unclassified)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Quinoxyfen</w:t>
            </w:r>
            <w:proofErr w:type="spellEnd"/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Quinoline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Proquinazid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Quinazolinone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</w:tr>
      <w:tr w:rsidR="00E135D0" w:rsidRPr="00024F7A" w:rsidTr="006319D1">
        <w:trPr>
          <w:trHeight w:val="310"/>
        </w:trPr>
        <w:tc>
          <w:tcPr>
            <w:tcW w:w="328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Fenazaquin</w:t>
            </w:r>
          </w:p>
        </w:tc>
        <w:tc>
          <w:tcPr>
            <w:tcW w:w="314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O (</w:t>
            </w:r>
            <w:proofErr w:type="spellStart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Quinazoline</w:t>
            </w:r>
            <w:proofErr w:type="spellEnd"/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AC</w:t>
            </w:r>
          </w:p>
        </w:tc>
        <w:tc>
          <w:tcPr>
            <w:tcW w:w="2160" w:type="dxa"/>
            <w:noWrap/>
            <w:hideMark/>
          </w:tcPr>
          <w:p w:rsidR="00E135D0" w:rsidRPr="00024F7A" w:rsidRDefault="00E135D0" w:rsidP="0063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4F7A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</w:tr>
    </w:tbl>
    <w:p w:rsidR="00E135D0" w:rsidRDefault="00E135D0" w:rsidP="00E135D0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EE49F6">
        <w:rPr>
          <w:rFonts w:ascii="Times New Roman" w:hAnsi="Times New Roman" w:cs="Times New Roman"/>
          <w:i/>
          <w:sz w:val="24"/>
          <w:szCs w:val="24"/>
          <w:lang w:val="en-GB"/>
        </w:rPr>
        <w:t xml:space="preserve">OP – Organophosphate, C – Carbamate, N – Neonicotinoids, PY – Pyrethroids, O – Others, I – Insecticide, F – Fungicide, H – Herbicide, AC – Acaricide, O – Obsolete, </w:t>
      </w:r>
      <w:proofErr w:type="spellStart"/>
      <w:r w:rsidRPr="00EE49F6">
        <w:rPr>
          <w:rFonts w:ascii="Times New Roman" w:hAnsi="Times New Roman" w:cs="Times New Roman"/>
          <w:i/>
          <w:sz w:val="24"/>
          <w:szCs w:val="24"/>
          <w:lang w:val="en-GB"/>
        </w:rPr>
        <w:t>Ia</w:t>
      </w:r>
      <w:proofErr w:type="spellEnd"/>
      <w:r w:rsidRPr="00EE49F6">
        <w:rPr>
          <w:rFonts w:ascii="Times New Roman" w:hAnsi="Times New Roman" w:cs="Times New Roman"/>
          <w:i/>
          <w:sz w:val="24"/>
          <w:szCs w:val="24"/>
          <w:lang w:val="en-GB"/>
        </w:rPr>
        <w:t xml:space="preserve"> – Extremely hazardous, </w:t>
      </w:r>
      <w:proofErr w:type="spellStart"/>
      <w:r w:rsidRPr="00EE49F6">
        <w:rPr>
          <w:rFonts w:ascii="Times New Roman" w:hAnsi="Times New Roman" w:cs="Times New Roman"/>
          <w:i/>
          <w:sz w:val="24"/>
          <w:szCs w:val="24"/>
          <w:lang w:val="en-GB"/>
        </w:rPr>
        <w:t>Ib</w:t>
      </w:r>
      <w:proofErr w:type="spellEnd"/>
      <w:r w:rsidRPr="00EE49F6">
        <w:rPr>
          <w:rFonts w:ascii="Times New Roman" w:hAnsi="Times New Roman" w:cs="Times New Roman"/>
          <w:i/>
          <w:sz w:val="24"/>
          <w:szCs w:val="24"/>
          <w:lang w:val="en-GB"/>
        </w:rPr>
        <w:t xml:space="preserve"> – Highly hazardous, II – Moderately hazardous, III – Slightly hazardous, U – Unlikely to present acute hazards  </w:t>
      </w:r>
    </w:p>
    <w:p w:rsidR="007F393B" w:rsidRPr="009C0752" w:rsidRDefault="007F393B" w:rsidP="007F393B">
      <w:pPr>
        <w:pStyle w:val="Caption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Table A2</w:t>
      </w:r>
      <w:r w:rsidRPr="009C0752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: Hazard quotient for pesticides with EDI greater than 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the </w:t>
      </w:r>
      <w:r w:rsidRPr="009C0752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ADI at different stages along the chain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97"/>
        <w:gridCol w:w="1438"/>
        <w:gridCol w:w="1438"/>
        <w:gridCol w:w="1438"/>
        <w:gridCol w:w="1601"/>
        <w:gridCol w:w="1438"/>
      </w:tblGrid>
      <w:tr w:rsidR="007F393B" w:rsidRPr="009C0752" w:rsidTr="00EE5A3F">
        <w:trPr>
          <w:trHeight w:val="290"/>
        </w:trPr>
        <w:tc>
          <w:tcPr>
            <w:tcW w:w="1068" w:type="pct"/>
            <w:vMerge w:val="restart"/>
            <w:noWrap/>
          </w:tcPr>
          <w:p w:rsidR="007F393B" w:rsidRPr="00A32365" w:rsidRDefault="007F393B" w:rsidP="00EE5A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3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Pesticides </w:t>
            </w:r>
          </w:p>
        </w:tc>
        <w:tc>
          <w:tcPr>
            <w:tcW w:w="3932" w:type="pct"/>
            <w:gridSpan w:val="5"/>
            <w:noWrap/>
          </w:tcPr>
          <w:p w:rsidR="007F393B" w:rsidRPr="00A32365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365">
              <w:rPr>
                <w:rFonts w:ascii="Times New Roman" w:hAnsi="Times New Roman" w:cs="Times New Roman"/>
                <w:b/>
                <w:sz w:val="24"/>
                <w:szCs w:val="24"/>
              </w:rPr>
              <w:t>Hazard Quotient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(HQ)</w:t>
            </w:r>
          </w:p>
        </w:tc>
      </w:tr>
      <w:tr w:rsidR="007F393B" w:rsidRPr="009C0752" w:rsidTr="00EE5A3F">
        <w:trPr>
          <w:trHeight w:val="290"/>
        </w:trPr>
        <w:tc>
          <w:tcPr>
            <w:tcW w:w="1068" w:type="pct"/>
            <w:vMerge/>
            <w:noWrap/>
            <w:hideMark/>
          </w:tcPr>
          <w:p w:rsidR="007F393B" w:rsidRPr="00A32365" w:rsidRDefault="007F393B" w:rsidP="00EE5A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pct"/>
            <w:noWrap/>
            <w:hideMark/>
          </w:tcPr>
          <w:p w:rsidR="007F393B" w:rsidRPr="00A32365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365">
              <w:rPr>
                <w:rFonts w:ascii="Times New Roman" w:hAnsi="Times New Roman" w:cs="Times New Roman"/>
                <w:b/>
                <w:sz w:val="24"/>
                <w:szCs w:val="24"/>
              </w:rPr>
              <w:t>Farm</w:t>
            </w:r>
          </w:p>
        </w:tc>
        <w:tc>
          <w:tcPr>
            <w:tcW w:w="769" w:type="pct"/>
            <w:noWrap/>
            <w:hideMark/>
          </w:tcPr>
          <w:p w:rsidR="007F393B" w:rsidRPr="00A32365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365">
              <w:rPr>
                <w:rFonts w:ascii="Times New Roman" w:hAnsi="Times New Roman" w:cs="Times New Roman"/>
                <w:b/>
                <w:sz w:val="24"/>
                <w:szCs w:val="24"/>
              </w:rPr>
              <w:t>Market</w:t>
            </w:r>
          </w:p>
        </w:tc>
        <w:tc>
          <w:tcPr>
            <w:tcW w:w="769" w:type="pct"/>
            <w:noWrap/>
            <w:hideMark/>
          </w:tcPr>
          <w:p w:rsidR="007F393B" w:rsidRPr="00A32365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365">
              <w:rPr>
                <w:rFonts w:ascii="Times New Roman" w:hAnsi="Times New Roman" w:cs="Times New Roman"/>
                <w:b/>
                <w:sz w:val="24"/>
                <w:szCs w:val="24"/>
              </w:rPr>
              <w:t>Street</w:t>
            </w:r>
          </w:p>
        </w:tc>
        <w:tc>
          <w:tcPr>
            <w:tcW w:w="856" w:type="pct"/>
            <w:noWrap/>
            <w:hideMark/>
          </w:tcPr>
          <w:p w:rsidR="007F393B" w:rsidRPr="00A32365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365">
              <w:rPr>
                <w:rFonts w:ascii="Times New Roman" w:hAnsi="Times New Roman" w:cs="Times New Roman"/>
                <w:b/>
                <w:sz w:val="24"/>
                <w:szCs w:val="24"/>
              </w:rPr>
              <w:t>Restaurant</w:t>
            </w:r>
          </w:p>
        </w:tc>
        <w:tc>
          <w:tcPr>
            <w:tcW w:w="769" w:type="pct"/>
            <w:noWrap/>
            <w:hideMark/>
          </w:tcPr>
          <w:p w:rsidR="007F393B" w:rsidRPr="00A32365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365">
              <w:rPr>
                <w:rFonts w:ascii="Times New Roman" w:hAnsi="Times New Roman" w:cs="Times New Roman"/>
                <w:b/>
                <w:sz w:val="24"/>
                <w:szCs w:val="24"/>
              </w:rPr>
              <w:t>Home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Omethoate</w:t>
            </w:r>
            <w:proofErr w:type="spellEnd"/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Dimethoate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Fonofos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39.3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Dichlorvos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442.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Quinalphos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Profenofos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Fenitrothion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47.2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35.4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Dioxacarb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Carbofuran</w:t>
            </w:r>
            <w:proofErr w:type="spellEnd"/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Alanycarb</w:t>
            </w:r>
            <w:proofErr w:type="spellEnd"/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118.0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118.0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59.0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118.0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177.0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Benfuracarb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E-11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Acetamiprid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Cypermethrin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Fenhexamid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7F393B" w:rsidRPr="009C0752" w:rsidTr="00EE5A3F">
        <w:trPr>
          <w:trHeight w:val="310"/>
        </w:trPr>
        <w:tc>
          <w:tcPr>
            <w:tcW w:w="1068" w:type="pct"/>
            <w:noWrap/>
            <w:hideMark/>
          </w:tcPr>
          <w:p w:rsidR="007F393B" w:rsidRPr="009C0752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Fluazifop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  <w:tc>
          <w:tcPr>
            <w:tcW w:w="856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  <w:tc>
          <w:tcPr>
            <w:tcW w:w="769" w:type="pct"/>
            <w:noWrap/>
            <w:hideMark/>
          </w:tcPr>
          <w:p w:rsidR="007F393B" w:rsidRPr="009C0752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0752">
              <w:rPr>
                <w:rFonts w:ascii="Times New Roman" w:hAnsi="Times New Roman" w:cs="Times New Roman"/>
                <w:sz w:val="24"/>
                <w:szCs w:val="24"/>
              </w:rPr>
              <w:t>BDL</w:t>
            </w:r>
          </w:p>
        </w:tc>
      </w:tr>
    </w:tbl>
    <w:p w:rsidR="007F393B" w:rsidRPr="009C0752" w:rsidRDefault="007F393B" w:rsidP="007F393B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BDL – Below Detection Limit, HQ – Hazard Quotient </w:t>
      </w:r>
    </w:p>
    <w:p w:rsidR="007F393B" w:rsidRPr="00A6348C" w:rsidRDefault="007F393B" w:rsidP="007F393B">
      <w:pPr>
        <w:pStyle w:val="Caption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Table 3A</w:t>
      </w:r>
      <w:r w:rsidRPr="00A6348C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: Hazard quotient for pesticides with EDI greater than </w:t>
      </w: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the </w:t>
      </w:r>
      <w:r w:rsidRPr="00A6348C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ADI by age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8"/>
        <w:gridCol w:w="984"/>
        <w:gridCol w:w="983"/>
        <w:gridCol w:w="983"/>
        <w:gridCol w:w="983"/>
        <w:gridCol w:w="983"/>
        <w:gridCol w:w="983"/>
        <w:gridCol w:w="983"/>
      </w:tblGrid>
      <w:tr w:rsidR="007F393B" w:rsidRPr="00A41D0B" w:rsidTr="00EE5A3F">
        <w:trPr>
          <w:trHeight w:val="290"/>
        </w:trPr>
        <w:tc>
          <w:tcPr>
            <w:tcW w:w="2468" w:type="dxa"/>
            <w:vMerge w:val="restart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Pesticides </w:t>
            </w:r>
          </w:p>
        </w:tc>
        <w:tc>
          <w:tcPr>
            <w:tcW w:w="6882" w:type="dxa"/>
            <w:gridSpan w:val="7"/>
            <w:noWrap/>
            <w:hideMark/>
          </w:tcPr>
          <w:p w:rsidR="007F393B" w:rsidRPr="00A41D0B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>Hazard Quotient (HQ)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by age group (years)</w:t>
            </w:r>
          </w:p>
        </w:tc>
      </w:tr>
      <w:tr w:rsidR="007F393B" w:rsidRPr="00A41D0B" w:rsidTr="00EE5A3F">
        <w:trPr>
          <w:trHeight w:val="290"/>
        </w:trPr>
        <w:tc>
          <w:tcPr>
            <w:tcW w:w="2468" w:type="dxa"/>
            <w:vMerge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>&lt;5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>05-12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>13-19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>20-24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>25-35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>36-49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b/>
                <w:sz w:val="24"/>
                <w:szCs w:val="24"/>
              </w:rPr>
              <w:t>50+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Omethoate</w:t>
            </w:r>
            <w:proofErr w:type="spellEnd"/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Dimethoate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Fonofos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38.8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Dichlorvos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444.3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253.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156.5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180.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146.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126.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136.2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Quinalphos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Profenofos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Fenitrothion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62.1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Aminocarb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Dioxacarb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55.1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31.4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16.9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Carbofuran</w:t>
            </w:r>
            <w:proofErr w:type="spellEnd"/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Alanycarb</w:t>
            </w:r>
            <w:proofErr w:type="spellEnd"/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314.3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179.0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110.74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127.5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103.6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89.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Benfuracarb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Methiocarb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Acetamiprid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Lambda-Cyhalothrin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Cypermethrin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Fenhexamid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F393B" w:rsidRPr="00A41D0B" w:rsidTr="00EE5A3F">
        <w:trPr>
          <w:trHeight w:val="310"/>
        </w:trPr>
        <w:tc>
          <w:tcPr>
            <w:tcW w:w="2468" w:type="dxa"/>
            <w:noWrap/>
            <w:hideMark/>
          </w:tcPr>
          <w:p w:rsidR="007F393B" w:rsidRPr="00A41D0B" w:rsidRDefault="007F393B" w:rsidP="00EE5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Fluazifop</w:t>
            </w:r>
          </w:p>
        </w:tc>
        <w:tc>
          <w:tcPr>
            <w:tcW w:w="984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noWrap/>
            <w:hideMark/>
          </w:tcPr>
          <w:p w:rsidR="007F393B" w:rsidRPr="00A41D0B" w:rsidRDefault="007F393B" w:rsidP="00EE5A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41D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7F393B" w:rsidRPr="00A41D0B" w:rsidRDefault="007F393B" w:rsidP="007F393B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HQ – Hazard Quotient </w:t>
      </w:r>
    </w:p>
    <w:p w:rsidR="007F393B" w:rsidRPr="007F393B" w:rsidRDefault="007F393B" w:rsidP="00E135D0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p w:rsidR="003621E9" w:rsidRDefault="003621E9"/>
    <w:sectPr w:rsidR="003621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03B0" w:rsidRDefault="00CB03B0" w:rsidP="007F393B">
      <w:pPr>
        <w:spacing w:after="0" w:line="240" w:lineRule="auto"/>
      </w:pPr>
      <w:r>
        <w:separator/>
      </w:r>
    </w:p>
  </w:endnote>
  <w:endnote w:type="continuationSeparator" w:id="0">
    <w:p w:rsidR="00CB03B0" w:rsidRDefault="00CB03B0" w:rsidP="007F3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03B0" w:rsidRDefault="00CB03B0" w:rsidP="007F393B">
      <w:pPr>
        <w:spacing w:after="0" w:line="240" w:lineRule="auto"/>
      </w:pPr>
      <w:r>
        <w:separator/>
      </w:r>
    </w:p>
  </w:footnote>
  <w:footnote w:type="continuationSeparator" w:id="0">
    <w:p w:rsidR="00CB03B0" w:rsidRDefault="00CB03B0" w:rsidP="007F39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5D0"/>
    <w:rsid w:val="000905BA"/>
    <w:rsid w:val="003121F4"/>
    <w:rsid w:val="0031675B"/>
    <w:rsid w:val="003621E9"/>
    <w:rsid w:val="003841CA"/>
    <w:rsid w:val="00452C28"/>
    <w:rsid w:val="00497B32"/>
    <w:rsid w:val="007F393B"/>
    <w:rsid w:val="00C70067"/>
    <w:rsid w:val="00CB03B0"/>
    <w:rsid w:val="00DC229F"/>
    <w:rsid w:val="00E135D0"/>
    <w:rsid w:val="00E14484"/>
    <w:rsid w:val="00E54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A0CE"/>
  <w15:chartTrackingRefBased/>
  <w15:docId w15:val="{7CC831F4-2C0D-4707-863B-448D6AC63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5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135D0"/>
    <w:pPr>
      <w:spacing w:after="200" w:line="240" w:lineRule="auto"/>
    </w:pPr>
    <w:rPr>
      <w:i/>
      <w:iCs/>
      <w:color w:val="44546A" w:themeColor="text2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E13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39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93B"/>
  </w:style>
  <w:style w:type="paragraph" w:styleId="Footer">
    <w:name w:val="footer"/>
    <w:basedOn w:val="Normal"/>
    <w:link w:val="FooterChar"/>
    <w:uiPriority w:val="99"/>
    <w:unhideWhenUsed/>
    <w:rsid w:val="007F39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Ssemugabo</dc:creator>
  <cp:keywords/>
  <dc:description/>
  <cp:lastModifiedBy>Charles Ssemugabo</cp:lastModifiedBy>
  <cp:revision>2</cp:revision>
  <dcterms:created xsi:type="dcterms:W3CDTF">2022-02-08T10:26:00Z</dcterms:created>
  <dcterms:modified xsi:type="dcterms:W3CDTF">2022-02-08T10:26:00Z</dcterms:modified>
</cp:coreProperties>
</file>