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3F04" w14:textId="77777777" w:rsidR="00F81169" w:rsidRPr="001D03CE" w:rsidRDefault="00F81169" w:rsidP="00F81169">
      <w:pPr>
        <w:spacing w:line="480" w:lineRule="auto"/>
        <w:rPr>
          <w:rFonts w:ascii="Times New Roman" w:hAnsi="Times New Roman"/>
          <w:sz w:val="24"/>
          <w:szCs w:val="24"/>
        </w:rPr>
      </w:pPr>
      <w:r w:rsidRPr="001D03CE">
        <w:rPr>
          <w:rFonts w:ascii="Times New Roman" w:hAnsi="Times New Roman"/>
          <w:sz w:val="24"/>
          <w:szCs w:val="24"/>
        </w:rPr>
        <w:t>Non-standard Abbreviations and Acronyms</w:t>
      </w:r>
    </w:p>
    <w:tbl>
      <w:tblPr>
        <w:tblStyle w:val="21"/>
        <w:tblW w:w="8296" w:type="dxa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F81169" w:rsidRPr="001D03CE" w14:paraId="7BCBEBA7" w14:textId="77777777" w:rsidTr="003F1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9B43DC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TIMS-China</w:t>
            </w:r>
          </w:p>
        </w:tc>
        <w:tc>
          <w:tcPr>
            <w:tcW w:w="6741" w:type="dxa"/>
          </w:tcPr>
          <w:p w14:paraId="2B872CBC" w14:textId="77777777" w:rsidR="00F81169" w:rsidRPr="001D03CE" w:rsidRDefault="00F81169" w:rsidP="003F1E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Thrombolysis Implementation and Monitor of Acute Ischemic Stroke in China</w:t>
            </w:r>
          </w:p>
        </w:tc>
      </w:tr>
      <w:tr w:rsidR="00F81169" w:rsidRPr="001D03CE" w14:paraId="2C456132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1C712F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6741" w:type="dxa"/>
          </w:tcPr>
          <w:p w14:paraId="332EFA4E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early neurological deterioration</w:t>
            </w:r>
          </w:p>
        </w:tc>
      </w:tr>
      <w:tr w:rsidR="00F81169" w:rsidRPr="001D03CE" w14:paraId="559B2E10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AE935A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 xml:space="preserve">rt-PA </w:t>
            </w:r>
          </w:p>
        </w:tc>
        <w:tc>
          <w:tcPr>
            <w:tcW w:w="6741" w:type="dxa"/>
          </w:tcPr>
          <w:p w14:paraId="5057DBE1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recombinant tissue-type plasminogen activator</w:t>
            </w:r>
          </w:p>
        </w:tc>
      </w:tr>
      <w:tr w:rsidR="00F81169" w:rsidRPr="001D03CE" w14:paraId="4F4CE2FD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430829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NIHSS</w:t>
            </w:r>
          </w:p>
        </w:tc>
        <w:tc>
          <w:tcPr>
            <w:tcW w:w="6741" w:type="dxa"/>
          </w:tcPr>
          <w:p w14:paraId="4F9CD965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National Institute of Health Stroke</w:t>
            </w:r>
          </w:p>
        </w:tc>
      </w:tr>
      <w:tr w:rsidR="00F81169" w:rsidRPr="001D03CE" w14:paraId="79EC927F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ACE1F2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mRS</w:t>
            </w:r>
          </w:p>
        </w:tc>
        <w:tc>
          <w:tcPr>
            <w:tcW w:w="6741" w:type="dxa"/>
          </w:tcPr>
          <w:p w14:paraId="2A64D92E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modified Rankin Scale</w:t>
            </w:r>
          </w:p>
        </w:tc>
      </w:tr>
      <w:tr w:rsidR="00F81169" w:rsidRPr="001D03CE" w14:paraId="161CE285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BD1BB6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sICH</w:t>
            </w:r>
          </w:p>
        </w:tc>
        <w:tc>
          <w:tcPr>
            <w:tcW w:w="6741" w:type="dxa"/>
          </w:tcPr>
          <w:p w14:paraId="08DCB51E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symptomatic intracranial hemorrhage</w:t>
            </w:r>
          </w:p>
        </w:tc>
      </w:tr>
      <w:tr w:rsidR="00F81169" w:rsidRPr="001D03CE" w14:paraId="14EE7EDB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2AB8A5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SITS-MOST</w:t>
            </w:r>
          </w:p>
        </w:tc>
        <w:tc>
          <w:tcPr>
            <w:tcW w:w="6741" w:type="dxa"/>
          </w:tcPr>
          <w:p w14:paraId="1AFA71DA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Stroke-Monitoring Study</w:t>
            </w:r>
          </w:p>
        </w:tc>
      </w:tr>
      <w:tr w:rsidR="00F81169" w:rsidRPr="001D03CE" w14:paraId="1E07E9DF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85560D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NINDS</w:t>
            </w:r>
          </w:p>
        </w:tc>
        <w:tc>
          <w:tcPr>
            <w:tcW w:w="6741" w:type="dxa"/>
          </w:tcPr>
          <w:p w14:paraId="4242F6EE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National Institute of Neurological Disorders and Stroke</w:t>
            </w:r>
          </w:p>
        </w:tc>
      </w:tr>
      <w:tr w:rsidR="00F81169" w:rsidRPr="001D03CE" w14:paraId="03B37396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A3C895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ECASS Ⅱ</w:t>
            </w:r>
          </w:p>
        </w:tc>
        <w:tc>
          <w:tcPr>
            <w:tcW w:w="6741" w:type="dxa"/>
          </w:tcPr>
          <w:p w14:paraId="1652DB4A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European Cooperative Acute Stroke Study Ⅱ</w:t>
            </w:r>
          </w:p>
        </w:tc>
      </w:tr>
      <w:tr w:rsidR="00F81169" w:rsidRPr="001D03CE" w14:paraId="7FA7815D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6602D5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IQRs</w:t>
            </w:r>
          </w:p>
        </w:tc>
        <w:tc>
          <w:tcPr>
            <w:tcW w:w="6741" w:type="dxa"/>
          </w:tcPr>
          <w:p w14:paraId="628767D7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interquartile ranges</w:t>
            </w:r>
          </w:p>
        </w:tc>
      </w:tr>
      <w:tr w:rsidR="00F81169" w:rsidRPr="001D03CE" w14:paraId="441F1829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1AB9F4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ORs</w:t>
            </w:r>
          </w:p>
        </w:tc>
        <w:tc>
          <w:tcPr>
            <w:tcW w:w="6741" w:type="dxa"/>
          </w:tcPr>
          <w:p w14:paraId="145CB882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odd ratios</w:t>
            </w:r>
          </w:p>
        </w:tc>
      </w:tr>
      <w:tr w:rsidR="00F81169" w:rsidRPr="001D03CE" w14:paraId="5ED5FC82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EEBAED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CIs</w:t>
            </w:r>
          </w:p>
        </w:tc>
        <w:tc>
          <w:tcPr>
            <w:tcW w:w="6741" w:type="dxa"/>
          </w:tcPr>
          <w:p w14:paraId="1C8614BB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confidence intervals</w:t>
            </w:r>
          </w:p>
        </w:tc>
      </w:tr>
      <w:tr w:rsidR="00F81169" w:rsidRPr="001D03CE" w14:paraId="004C7439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44F85E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SBP</w:t>
            </w:r>
          </w:p>
        </w:tc>
        <w:tc>
          <w:tcPr>
            <w:tcW w:w="6741" w:type="dxa"/>
          </w:tcPr>
          <w:p w14:paraId="3AF912A1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systolic blood pressure</w:t>
            </w:r>
          </w:p>
        </w:tc>
      </w:tr>
      <w:tr w:rsidR="00F81169" w:rsidRPr="001D03CE" w14:paraId="5B322403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1357FF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DBP</w:t>
            </w:r>
          </w:p>
        </w:tc>
        <w:tc>
          <w:tcPr>
            <w:tcW w:w="6741" w:type="dxa"/>
          </w:tcPr>
          <w:p w14:paraId="51238856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diastolic blood pressure</w:t>
            </w:r>
          </w:p>
        </w:tc>
      </w:tr>
      <w:tr w:rsidR="00F81169" w:rsidRPr="001D03CE" w14:paraId="24018098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9C722A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OCSP</w:t>
            </w:r>
          </w:p>
        </w:tc>
        <w:tc>
          <w:tcPr>
            <w:tcW w:w="6741" w:type="dxa"/>
          </w:tcPr>
          <w:p w14:paraId="65D47E63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Oxfordshire Community Stroke Project</w:t>
            </w:r>
          </w:p>
        </w:tc>
      </w:tr>
      <w:tr w:rsidR="00F81169" w:rsidRPr="001D03CE" w14:paraId="49F495D2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AF1EE2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TIA</w:t>
            </w:r>
          </w:p>
        </w:tc>
        <w:tc>
          <w:tcPr>
            <w:tcW w:w="6741" w:type="dxa"/>
          </w:tcPr>
          <w:p w14:paraId="2140B1E0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transient ischemic attack</w:t>
            </w:r>
          </w:p>
        </w:tc>
      </w:tr>
      <w:tr w:rsidR="00F81169" w:rsidRPr="001D03CE" w14:paraId="7760FF9A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248303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TOAST</w:t>
            </w:r>
          </w:p>
        </w:tc>
        <w:tc>
          <w:tcPr>
            <w:tcW w:w="6741" w:type="dxa"/>
          </w:tcPr>
          <w:p w14:paraId="5EC2EF3E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Trial of Org 10172 in Acute Stroke Treatment</w:t>
            </w:r>
          </w:p>
        </w:tc>
      </w:tr>
      <w:tr w:rsidR="00F81169" w:rsidRPr="001D03CE" w14:paraId="14C42EB9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3AAE3B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WBC</w:t>
            </w:r>
          </w:p>
        </w:tc>
        <w:tc>
          <w:tcPr>
            <w:tcW w:w="6741" w:type="dxa"/>
          </w:tcPr>
          <w:p w14:paraId="693AEDDD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white blood cell</w:t>
            </w:r>
          </w:p>
        </w:tc>
      </w:tr>
      <w:tr w:rsidR="00F81169" w:rsidRPr="001D03CE" w14:paraId="1F825152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413737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PLT</w:t>
            </w:r>
          </w:p>
        </w:tc>
        <w:tc>
          <w:tcPr>
            <w:tcW w:w="6741" w:type="dxa"/>
          </w:tcPr>
          <w:p w14:paraId="71F001CF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platelet</w:t>
            </w:r>
          </w:p>
        </w:tc>
      </w:tr>
      <w:tr w:rsidR="00F81169" w:rsidRPr="001D03CE" w14:paraId="3DCD9B46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7678A6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INR</w:t>
            </w:r>
          </w:p>
        </w:tc>
        <w:tc>
          <w:tcPr>
            <w:tcW w:w="6741" w:type="dxa"/>
          </w:tcPr>
          <w:p w14:paraId="0CFF6B8C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international normalized ratio</w:t>
            </w:r>
          </w:p>
        </w:tc>
      </w:tr>
      <w:tr w:rsidR="00F81169" w:rsidRPr="001D03CE" w14:paraId="0CF073FF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CA95DD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lastRenderedPageBreak/>
              <w:t>PT</w:t>
            </w:r>
          </w:p>
        </w:tc>
        <w:tc>
          <w:tcPr>
            <w:tcW w:w="6741" w:type="dxa"/>
          </w:tcPr>
          <w:p w14:paraId="5DE3F30F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prothrombin time</w:t>
            </w:r>
          </w:p>
        </w:tc>
      </w:tr>
      <w:tr w:rsidR="00F81169" w:rsidRPr="001D03CE" w14:paraId="1A7D5260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9EC68A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APTT</w:t>
            </w:r>
          </w:p>
        </w:tc>
        <w:tc>
          <w:tcPr>
            <w:tcW w:w="6741" w:type="dxa"/>
          </w:tcPr>
          <w:p w14:paraId="09339239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activated partial thromboplastin time</w:t>
            </w:r>
          </w:p>
        </w:tc>
      </w:tr>
      <w:tr w:rsidR="00F81169" w:rsidRPr="001D03CE" w14:paraId="2E4BF819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CDF328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FBG</w:t>
            </w:r>
          </w:p>
        </w:tc>
        <w:tc>
          <w:tcPr>
            <w:tcW w:w="6741" w:type="dxa"/>
          </w:tcPr>
          <w:p w14:paraId="7BF62DE7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fibrinogen</w:t>
            </w:r>
          </w:p>
        </w:tc>
      </w:tr>
      <w:tr w:rsidR="00F81169" w:rsidRPr="001D03CE" w14:paraId="642659D7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799041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 xml:space="preserve">LDL-C </w:t>
            </w:r>
          </w:p>
        </w:tc>
        <w:tc>
          <w:tcPr>
            <w:tcW w:w="6741" w:type="dxa"/>
          </w:tcPr>
          <w:p w14:paraId="599FD7CB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 xml:space="preserve">low-density lipoprotein cholesterol </w:t>
            </w:r>
          </w:p>
        </w:tc>
      </w:tr>
      <w:tr w:rsidR="00F81169" w:rsidRPr="001D03CE" w14:paraId="41301C48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5177CE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6741" w:type="dxa"/>
          </w:tcPr>
          <w:p w14:paraId="066DE67E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 xml:space="preserve">cholesterol </w:t>
            </w:r>
          </w:p>
        </w:tc>
      </w:tr>
      <w:tr w:rsidR="00F81169" w:rsidRPr="001D03CE" w14:paraId="12AEC8FF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B9CBF2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  <w:tc>
          <w:tcPr>
            <w:tcW w:w="6741" w:type="dxa"/>
          </w:tcPr>
          <w:p w14:paraId="0BD2024C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cardioembolism</w:t>
            </w:r>
          </w:p>
        </w:tc>
      </w:tr>
      <w:tr w:rsidR="00F81169" w:rsidRPr="001D03CE" w14:paraId="3FE0AB22" w14:textId="77777777" w:rsidTr="003F1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6198A1" w14:textId="77777777" w:rsidR="00F81169" w:rsidRPr="001D03CE" w:rsidRDefault="00F81169" w:rsidP="003F1EA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LAA</w:t>
            </w:r>
          </w:p>
        </w:tc>
        <w:tc>
          <w:tcPr>
            <w:tcW w:w="6741" w:type="dxa"/>
          </w:tcPr>
          <w:p w14:paraId="792948F4" w14:textId="77777777" w:rsidR="00F81169" w:rsidRPr="001D03CE" w:rsidRDefault="00F81169" w:rsidP="003F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D03CE">
              <w:rPr>
                <w:rFonts w:ascii="Times New Roman" w:hAnsi="Times New Roman"/>
                <w:sz w:val="24"/>
                <w:szCs w:val="24"/>
              </w:rPr>
              <w:t>large- artery atherosclerosis</w:t>
            </w:r>
          </w:p>
        </w:tc>
      </w:tr>
    </w:tbl>
    <w:p w14:paraId="713D8051" w14:textId="77777777" w:rsidR="00994408" w:rsidRDefault="00994408"/>
    <w:sectPr w:rsidR="00994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NzEyNDMwMjUwNDJT0lEKTi0uzszPAykwrAUAG2upxSwAAAA="/>
  </w:docVars>
  <w:rsids>
    <w:rsidRoot w:val="00F81169"/>
    <w:rsid w:val="00994408"/>
    <w:rsid w:val="00F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8EB8"/>
  <w15:chartTrackingRefBased/>
  <w15:docId w15:val="{E0EA3712-6D2D-4C6C-BD88-AA318665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16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rsid w:val="00F81169"/>
    <w:pPr>
      <w:spacing w:line="48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 锋丽</dc:creator>
  <cp:keywords/>
  <dc:description/>
  <cp:lastModifiedBy>车 锋丽</cp:lastModifiedBy>
  <cp:revision>1</cp:revision>
  <dcterms:created xsi:type="dcterms:W3CDTF">2022-02-08T06:10:00Z</dcterms:created>
  <dcterms:modified xsi:type="dcterms:W3CDTF">2022-02-08T06:10:00Z</dcterms:modified>
</cp:coreProperties>
</file>