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73751" w:rsidRPr="0028078A" w:rsidRDefault="00E73751" w:rsidP="00E73751">
      <w:pPr>
        <w:spacing w:line="480" w:lineRule="auto"/>
        <w:jc w:val="both"/>
        <w:rPr>
          <w:sz w:val="20"/>
          <w:szCs w:val="20"/>
        </w:rPr>
      </w:pPr>
      <w:r w:rsidRPr="008612C9">
        <w:rPr>
          <w:bCs/>
          <w:sz w:val="20"/>
          <w:szCs w:val="20"/>
        </w:rPr>
        <w:t>Additional file</w:t>
      </w:r>
      <w:r w:rsidRPr="0028078A">
        <w:rPr>
          <w:sz w:val="20"/>
          <w:szCs w:val="20"/>
        </w:rPr>
        <w:t xml:space="preserve"> 4. Univariable logistic regression analysis for 1-month survival in the study patients.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3"/>
        <w:gridCol w:w="1857"/>
        <w:gridCol w:w="2835"/>
        <w:gridCol w:w="941"/>
      </w:tblGrid>
      <w:tr w:rsidR="00E73751" w:rsidRPr="0028078A" w:rsidTr="00E73751">
        <w:trPr>
          <w:trHeight w:val="363"/>
        </w:trPr>
        <w:tc>
          <w:tcPr>
            <w:tcW w:w="33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73751" w:rsidRPr="0028078A" w:rsidRDefault="00E73751" w:rsidP="00E73751">
            <w:pPr>
              <w:spacing w:line="4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28078A">
              <w:rPr>
                <w:sz w:val="20"/>
                <w:szCs w:val="20"/>
              </w:rPr>
              <w:t>haracteristics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Odds Ratio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95% confidence interval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i/>
                <w:iCs/>
                <w:sz w:val="20"/>
                <w:szCs w:val="20"/>
              </w:rPr>
              <w:t>P</w:t>
            </w:r>
            <w:r w:rsidRPr="0028078A">
              <w:rPr>
                <w:rFonts w:eastAsia="바탕"/>
                <w:sz w:val="20"/>
                <w:szCs w:val="20"/>
              </w:rPr>
              <w:t>-value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Age, years</w:t>
            </w:r>
          </w:p>
        </w:tc>
        <w:tc>
          <w:tcPr>
            <w:tcW w:w="185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0.935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0.905–0.966</w:t>
            </w:r>
          </w:p>
        </w:tc>
        <w:tc>
          <w:tcPr>
            <w:tcW w:w="94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&lt;0.001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Male sex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0.716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0.282–1.816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0.482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Comorbid disease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Hypertension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0.494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0.257–0.949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0.034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Diabetes Mellitus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0.542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0.280–1.048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0.069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Chronic kidney disease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0.405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0.101–1.629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0.203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Previous stroke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0.366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0.109–1.225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0.103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Previous PCI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0.695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0.263–1.838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0.463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Arrest characteristics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Witnessed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0.567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0.239–1.348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0.199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Bystander CPR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0.713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0.369–1.379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0.315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Initial shockable rhythm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1.000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0.524–1.910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&gt;0.999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No flow time, min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0.991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0.934–1.052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0.775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Total resuscitation duration, min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0.973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0.957–0.990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0.001</w:t>
            </w:r>
          </w:p>
        </w:tc>
      </w:tr>
      <w:tr w:rsidR="00E73751" w:rsidRPr="0028078A" w:rsidTr="00E73751">
        <w:trPr>
          <w:trHeight w:val="529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ST-segment elevation on immediate EKG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0.524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0.274–1.002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0.051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Intervention before and during CAG 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Vasopressor use 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0.416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0.210–0.824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0.012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Extracorporeal life support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0.448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0.222–0.904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0.025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Disease extent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Triple vessel disease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Reference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0.814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Left main artery only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1.436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0.229–9.000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0.699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Left main artery plus ≥1 vessel disease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0.855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0.435–1.682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0.650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Chronic total occlusion ≥1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1.458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0.765–2.779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0.252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Targeted temperature management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1.734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0.868–3.461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0.119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Revascularization strategy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No immediate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Reference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0.234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lastRenderedPageBreak/>
              <w:t xml:space="preserve">  Incomplete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1.285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0.596–2.771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0.280</w:t>
            </w:r>
          </w:p>
        </w:tc>
      </w:tr>
      <w:tr w:rsidR="00E73751" w:rsidRPr="0028078A" w:rsidTr="00E73751">
        <w:trPr>
          <w:trHeight w:val="363"/>
        </w:trPr>
        <w:tc>
          <w:tcPr>
            <w:tcW w:w="3383" w:type="dxa"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Complete</w:t>
            </w:r>
          </w:p>
        </w:tc>
        <w:tc>
          <w:tcPr>
            <w:tcW w:w="1857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2.255</w:t>
            </w:r>
          </w:p>
        </w:tc>
        <w:tc>
          <w:tcPr>
            <w:tcW w:w="2835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0.871–5.839</w:t>
            </w:r>
          </w:p>
        </w:tc>
        <w:tc>
          <w:tcPr>
            <w:tcW w:w="941" w:type="dxa"/>
            <w:noWrap/>
            <w:vAlign w:val="center"/>
            <w:hideMark/>
          </w:tcPr>
          <w:p w:rsidR="00E73751" w:rsidRPr="0028078A" w:rsidRDefault="00E73751" w:rsidP="00E73751">
            <w:pPr>
              <w:spacing w:line="480" w:lineRule="auto"/>
              <w:jc w:val="center"/>
              <w:rPr>
                <w:rFonts w:eastAsia="바탕"/>
                <w:sz w:val="20"/>
                <w:szCs w:val="20"/>
              </w:rPr>
            </w:pPr>
            <w:r w:rsidRPr="0028078A">
              <w:rPr>
                <w:rFonts w:eastAsia="바탕"/>
                <w:sz w:val="20"/>
                <w:szCs w:val="20"/>
              </w:rPr>
              <w:t>0.094</w:t>
            </w:r>
          </w:p>
        </w:tc>
      </w:tr>
    </w:tbl>
    <w:p w:rsidR="00E73751" w:rsidRPr="0028078A" w:rsidRDefault="00E73751" w:rsidP="00E73751">
      <w:pPr>
        <w:spacing w:line="480" w:lineRule="auto"/>
        <w:jc w:val="both"/>
        <w:rPr>
          <w:sz w:val="20"/>
          <w:szCs w:val="20"/>
        </w:rPr>
      </w:pPr>
      <w:r w:rsidRPr="0028078A">
        <w:rPr>
          <w:sz w:val="20"/>
          <w:szCs w:val="20"/>
        </w:rPr>
        <w:t xml:space="preserve">CAG, </w:t>
      </w:r>
      <w:r w:rsidRPr="0028078A">
        <w:rPr>
          <w:rFonts w:eastAsiaTheme="minorEastAsia"/>
          <w:sz w:val="20"/>
          <w:szCs w:val="20"/>
        </w:rPr>
        <w:t>coronary angiography</w:t>
      </w:r>
      <w:r w:rsidRPr="0028078A">
        <w:rPr>
          <w:sz w:val="20"/>
          <w:szCs w:val="20"/>
        </w:rPr>
        <w:t>; CPR, cardiopulmonary resuscitation; ECG, electrocardiogram; PCI, percutaneous coronary intervention.</w:t>
      </w:r>
    </w:p>
    <w:p w:rsidR="00E73751" w:rsidRPr="0028078A" w:rsidRDefault="00E73751" w:rsidP="00E73751">
      <w:pPr>
        <w:spacing w:line="480" w:lineRule="auto"/>
        <w:rPr>
          <w:sz w:val="20"/>
          <w:szCs w:val="20"/>
        </w:rPr>
      </w:pPr>
    </w:p>
    <w:p w:rsidR="00AE7FBD" w:rsidRDefault="00AE7FBD" w:rsidP="00E73751">
      <w:pPr>
        <w:spacing w:line="480" w:lineRule="auto"/>
      </w:pPr>
    </w:p>
    <w:sectPr w:rsidR="00AE7FBD" w:rsidSect="009C71FB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2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751"/>
    <w:rsid w:val="00113540"/>
    <w:rsid w:val="001470AA"/>
    <w:rsid w:val="00156DF4"/>
    <w:rsid w:val="002374D7"/>
    <w:rsid w:val="00292BF1"/>
    <w:rsid w:val="002A01D4"/>
    <w:rsid w:val="002C73CD"/>
    <w:rsid w:val="003A3291"/>
    <w:rsid w:val="004B122D"/>
    <w:rsid w:val="0051301D"/>
    <w:rsid w:val="0071078C"/>
    <w:rsid w:val="00920BAE"/>
    <w:rsid w:val="00932F9B"/>
    <w:rsid w:val="009F248E"/>
    <w:rsid w:val="00A15C6B"/>
    <w:rsid w:val="00A91542"/>
    <w:rsid w:val="00AE7FBD"/>
    <w:rsid w:val="00B21536"/>
    <w:rsid w:val="00BE2345"/>
    <w:rsid w:val="00C11038"/>
    <w:rsid w:val="00C91402"/>
    <w:rsid w:val="00CC0677"/>
    <w:rsid w:val="00D751A2"/>
    <w:rsid w:val="00E73751"/>
    <w:rsid w:val="00EF5C97"/>
    <w:rsid w:val="00F0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2959F603-A6DE-E44D-AF7C-55D8855A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3751"/>
    <w:pPr>
      <w:jc w:val="left"/>
    </w:pPr>
    <w:rPr>
      <w:rFonts w:ascii="Times New Roman" w:eastAsia="Times New Roman" w:hAnsi="Times New Roman" w:cs="Times New Roman"/>
      <w:kern w:val="0"/>
      <w:sz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3751"/>
    <w:rPr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김윤정</dc:creator>
  <cp:keywords/>
  <dc:description/>
  <cp:lastModifiedBy>김윤정</cp:lastModifiedBy>
  <cp:revision>1</cp:revision>
  <dcterms:created xsi:type="dcterms:W3CDTF">2020-12-14T14:38:00Z</dcterms:created>
  <dcterms:modified xsi:type="dcterms:W3CDTF">2020-12-14T14:39:00Z</dcterms:modified>
</cp:coreProperties>
</file>