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88D70" w14:textId="77777777" w:rsidR="002D75EE" w:rsidRDefault="002D75EE" w:rsidP="002D75EE">
      <w:pPr>
        <w:pStyle w:val="4"/>
        <w:spacing w:line="480" w:lineRule="auto"/>
        <w:rPr>
          <w:rFonts w:hint="eastAsia"/>
        </w:rPr>
      </w:pPr>
      <w:r w:rsidRPr="003B2AE5">
        <w:rPr>
          <w:rFonts w:hint="eastAsia"/>
        </w:rPr>
        <w:t>Statistical analysis</w:t>
      </w:r>
    </w:p>
    <w:p w14:paraId="3CB6BFF4" w14:textId="77777777" w:rsidR="002D75EE" w:rsidRPr="00551A28" w:rsidRDefault="002D75EE" w:rsidP="002D75EE">
      <w:pPr>
        <w:pStyle w:val="4"/>
        <w:spacing w:line="480" w:lineRule="auto"/>
        <w:rPr>
          <w:rFonts w:hint="eastAsia"/>
          <w:b w:val="0"/>
          <w:bCs w:val="0"/>
          <w:color w:val="auto"/>
        </w:rPr>
      </w:pPr>
      <w:r w:rsidRPr="00551A28">
        <w:rPr>
          <w:rFonts w:ascii="Calibri" w:hAnsi="Calibri" w:cs="Calibri"/>
          <w:b w:val="0"/>
          <w:bCs w:val="0"/>
          <w:color w:val="auto"/>
        </w:rPr>
        <w:t xml:space="preserve">This study included a meta-analysis of categorical and continuous variables. For the categorical data, we used R version 3.5 (http://www.r-project.org/) to calculate </w:t>
      </w:r>
      <w:bookmarkStart w:id="0" w:name="_Hlk31187325"/>
      <w:r w:rsidRPr="00551A28">
        <w:rPr>
          <w:rFonts w:ascii="Calibri" w:hAnsi="Calibri" w:cs="Calibri"/>
          <w:b w:val="0"/>
          <w:bCs w:val="0"/>
          <w:color w:val="auto"/>
        </w:rPr>
        <w:t xml:space="preserve">relative risk (RR) </w:t>
      </w:r>
      <w:bookmarkEnd w:id="0"/>
      <w:r w:rsidRPr="00551A28">
        <w:rPr>
          <w:rFonts w:ascii="Calibri" w:hAnsi="Calibri" w:cs="Calibri"/>
          <w:b w:val="0"/>
          <w:bCs w:val="0"/>
          <w:color w:val="auto"/>
        </w:rPr>
        <w:t>values and to compare the results. For continuous data, due to different scoring standards, a standardized mean difference (SMD) was used to compare the results. For the conjoint analysis of continuous variables, we needed to know the mean (</w:t>
      </w:r>
      <m:oMath>
        <m:bar>
          <m:barPr>
            <m:pos m:val="top"/>
            <m:ctrlPr>
              <w:rPr>
                <w:rFonts w:ascii="Cambria Math" w:hAnsi="Cambria Math" w:cs="Calibri"/>
                <w:b w:val="0"/>
                <w:bCs w:val="0"/>
                <w:color w:val="auto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Calibri"/>
                <w:color w:val="auto"/>
              </w:rPr>
              <m:t>X</m:t>
            </m:r>
          </m:e>
        </m:bar>
      </m:oMath>
      <w:r w:rsidRPr="00551A28">
        <w:rPr>
          <w:rFonts w:ascii="Calibri" w:hAnsi="Calibri" w:cs="Calibri"/>
          <w:b w:val="0"/>
          <w:bCs w:val="0"/>
          <w:color w:val="auto"/>
        </w:rPr>
        <w:t>) and SD of the experimental and control groups.</w:t>
      </w:r>
      <w:r>
        <w:rPr>
          <w:rFonts w:ascii="Calibri" w:hAnsi="Calibri" w:cs="Calibri"/>
          <w:b w:val="0"/>
          <w:bCs w:val="0"/>
          <w:color w:val="auto"/>
        </w:rPr>
        <w:t xml:space="preserve"> </w:t>
      </w:r>
      <w:r w:rsidRPr="00551A28">
        <w:rPr>
          <w:rFonts w:ascii="Calibri" w:hAnsi="Calibri" w:cs="Calibri"/>
          <w:b w:val="0"/>
          <w:bCs w:val="0"/>
          <w:color w:val="auto"/>
        </w:rPr>
        <w:t xml:space="preserve">The specific </w:t>
      </w:r>
      <m:oMath>
        <m:bar>
          <m:barPr>
            <m:pos m:val="top"/>
            <m:ctrlPr>
              <w:rPr>
                <w:rFonts w:ascii="Cambria Math" w:hAnsi="Cambria Math" w:cs="Calibri"/>
                <w:b w:val="0"/>
                <w:bCs w:val="0"/>
                <w:i/>
                <w:color w:val="auto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Calibri"/>
                <w:color w:val="auto"/>
              </w:rPr>
              <m:t>X</m:t>
            </m:r>
          </m:e>
        </m:bar>
        <m:r>
          <m:rPr>
            <m:sty m:val="bi"/>
          </m:rPr>
          <w:rPr>
            <w:rFonts w:ascii="Cambria Math" w:hAnsi="Cambria Math" w:cs="Calibri"/>
            <w:color w:val="auto"/>
          </w:rPr>
          <m:t xml:space="preserve"> </m:t>
        </m:r>
      </m:oMath>
      <w:r w:rsidRPr="00551A28">
        <w:rPr>
          <w:rFonts w:ascii="Calibri" w:hAnsi="Calibri" w:cs="Calibri"/>
          <w:b w:val="0"/>
          <w:bCs w:val="0"/>
          <w:color w:val="auto"/>
        </w:rPr>
        <w:t xml:space="preserve">and SD values were not provided in the two papers </w:t>
      </w:r>
      <w:r w:rsidRPr="00551A28">
        <w:rPr>
          <w:rFonts w:ascii="Calibri" w:hAnsi="Calibri" w:cs="Calibri"/>
          <w:b w:val="0"/>
          <w:bCs w:val="0"/>
          <w:color w:val="auto"/>
        </w:rPr>
        <w:fldChar w:fldCharType="begin">
          <w:fldData xml:space="preserve">PEVuZE5vdGU+PENpdGU+PEF1dGhvcj5aPC9BdXRob3I+PFllYXI+MjAxNzwvWWVhcj48UmVjTnVt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</w:fldData>
        </w:fldChar>
      </w:r>
      <w:r w:rsidRPr="00551A28">
        <w:rPr>
          <w:rFonts w:ascii="Calibri" w:hAnsi="Calibri" w:cs="Calibri"/>
          <w:b w:val="0"/>
          <w:bCs w:val="0"/>
          <w:color w:val="auto"/>
        </w:rPr>
        <w:instrText xml:space="preserve"> ADDIN EN.CITE </w:instrText>
      </w:r>
      <w:r w:rsidRPr="00551A28">
        <w:rPr>
          <w:rFonts w:ascii="Calibri" w:hAnsi="Calibri" w:cs="Calibri"/>
          <w:b w:val="0"/>
          <w:bCs w:val="0"/>
          <w:color w:val="auto"/>
        </w:rPr>
        <w:fldChar w:fldCharType="begin">
          <w:fldData xml:space="preserve">PEVuZE5vdGU+PENpdGU+PEF1dGhvcj5aPC9BdXRob3I+PFllYXI+MjAxNzwvWWVhcj48UmVjTnVt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</w:fldData>
        </w:fldChar>
      </w:r>
      <w:r w:rsidRPr="00551A28">
        <w:rPr>
          <w:rFonts w:ascii="Calibri" w:hAnsi="Calibri" w:cs="Calibri"/>
          <w:b w:val="0"/>
          <w:bCs w:val="0"/>
          <w:color w:val="auto"/>
        </w:rPr>
        <w:instrText xml:space="preserve"> ADDIN EN.CITE.DATA </w:instrText>
      </w:r>
      <w:r w:rsidRPr="00551A28">
        <w:rPr>
          <w:rFonts w:ascii="Calibri" w:hAnsi="Calibri" w:cs="Calibri"/>
          <w:b w:val="0"/>
          <w:bCs w:val="0"/>
          <w:color w:val="auto"/>
        </w:rPr>
      </w:r>
      <w:r w:rsidRPr="00551A28">
        <w:rPr>
          <w:rFonts w:ascii="Calibri" w:hAnsi="Calibri" w:cs="Calibri"/>
          <w:b w:val="0"/>
          <w:bCs w:val="0"/>
          <w:color w:val="auto"/>
        </w:rPr>
        <w:fldChar w:fldCharType="end"/>
      </w:r>
      <w:r w:rsidRPr="00551A28">
        <w:rPr>
          <w:rFonts w:ascii="Calibri" w:hAnsi="Calibri" w:cs="Calibri"/>
          <w:b w:val="0"/>
          <w:bCs w:val="0"/>
          <w:color w:val="auto"/>
        </w:rPr>
      </w:r>
      <w:r w:rsidRPr="00551A28">
        <w:rPr>
          <w:rFonts w:ascii="Calibri" w:hAnsi="Calibri" w:cs="Calibri"/>
          <w:b w:val="0"/>
          <w:bCs w:val="0"/>
          <w:color w:val="auto"/>
        </w:rPr>
        <w:fldChar w:fldCharType="separate"/>
      </w:r>
      <w:r w:rsidRPr="00551A28">
        <w:rPr>
          <w:rFonts w:ascii="Calibri" w:hAnsi="Calibri" w:cs="Calibri"/>
          <w:b w:val="0"/>
          <w:bCs w:val="0"/>
          <w:color w:val="auto"/>
        </w:rPr>
        <w:t>[</w:t>
      </w:r>
      <w:hyperlink w:anchor="_ENREF_16" w:tooltip="Bangeas, 2019 #14" w:history="1">
        <w:r w:rsidRPr="00551A28">
          <w:rPr>
            <w:rFonts w:ascii="Calibri" w:hAnsi="Calibri" w:cs="Calibri"/>
            <w:b w:val="0"/>
            <w:bCs w:val="0"/>
            <w:color w:val="auto"/>
          </w:rPr>
          <w:t>16</w:t>
        </w:r>
      </w:hyperlink>
      <w:r w:rsidRPr="00551A28">
        <w:rPr>
          <w:rFonts w:ascii="Calibri" w:hAnsi="Calibri" w:cs="Calibri"/>
          <w:b w:val="0"/>
          <w:bCs w:val="0"/>
          <w:color w:val="auto"/>
        </w:rPr>
        <w:t xml:space="preserve">, </w:t>
      </w:r>
      <w:hyperlink w:anchor="_ENREF_17" w:tooltip="Z, 2017 #21" w:history="1">
        <w:r w:rsidRPr="00551A28">
          <w:rPr>
            <w:rFonts w:ascii="Calibri" w:hAnsi="Calibri" w:cs="Calibri"/>
            <w:b w:val="0"/>
            <w:bCs w:val="0"/>
            <w:color w:val="auto"/>
          </w:rPr>
          <w:t>17</w:t>
        </w:r>
      </w:hyperlink>
      <w:r w:rsidRPr="00551A28">
        <w:rPr>
          <w:rFonts w:ascii="Calibri" w:hAnsi="Calibri" w:cs="Calibri"/>
          <w:b w:val="0"/>
          <w:bCs w:val="0"/>
          <w:color w:val="auto"/>
        </w:rPr>
        <w:t>]</w:t>
      </w:r>
      <w:r w:rsidRPr="00551A28">
        <w:rPr>
          <w:rFonts w:ascii="Calibri" w:hAnsi="Calibri" w:cs="Calibri"/>
          <w:b w:val="0"/>
          <w:bCs w:val="0"/>
          <w:color w:val="auto"/>
        </w:rPr>
        <w:fldChar w:fldCharType="end"/>
      </w:r>
      <w:r w:rsidRPr="00551A28">
        <w:rPr>
          <w:rFonts w:ascii="Calibri" w:hAnsi="Calibri" w:cs="Calibri"/>
          <w:b w:val="0"/>
          <w:bCs w:val="0"/>
          <w:color w:val="auto"/>
        </w:rPr>
        <w:t xml:space="preserve">. Hence, we calculated them using published formulas as follows </w:t>
      </w:r>
      <w:r w:rsidRPr="00551A28">
        <w:rPr>
          <w:rFonts w:ascii="Calibri" w:hAnsi="Calibri" w:cs="Calibri"/>
          <w:b w:val="0"/>
          <w:bCs w:val="0"/>
          <w:color w:val="auto"/>
        </w:rPr>
        <w:fldChar w:fldCharType="begin"/>
      </w:r>
      <w:r w:rsidRPr="00551A28">
        <w:rPr>
          <w:rFonts w:ascii="Calibri" w:hAnsi="Calibri" w:cs="Calibri"/>
          <w:b w:val="0"/>
          <w:bCs w:val="0"/>
          <w:color w:val="auto"/>
        </w:rPr>
        <w:instrText xml:space="preserve"> ADDIN EN.CITE &lt;EndNote&gt;&lt;Cite&gt;&lt;Author&gt;SP&lt;/Author&gt;&lt;Year&gt;2005&lt;/Year&gt;&lt;RecNum&gt;17&lt;/RecNum&gt;&lt;DisplayText&gt;[19]&lt;/DisplayText&gt;&lt;record&gt;&lt;rec-number&gt;19&lt;/rec-number&gt;&lt;foreign-keys&gt;&lt;key app="EN" db-id="dfeae0ssb2e05uezavnxdts2t5f5a9waavzz"&gt;19&lt;/key&gt;&lt;/foreign-keys&gt;&lt;ref-type name="Journal Article"&gt;17&lt;/ref-type&gt;&lt;contributors&gt;&lt;authors&gt;&lt;author&gt;Hozo SP&lt;/author&gt;&lt;author&gt;Djulbegovic B&lt;/author&gt;&lt;author&gt;Hozo I&lt;/author&gt;&lt;/authors&gt;&lt;/contributors&gt;&lt;titles&gt;&lt;title&gt;Estimating the mean and variance from the median, range, and the size of a sample&lt;/title&gt;&lt;secondary-title&gt;BMC medical research methodology&lt;/secondary-title&gt;&lt;/titles&gt;&lt;periodical&gt;&lt;full-title&gt;BMC medical research methodology&lt;/full-title&gt;&lt;/periodical&gt;&lt;pages&gt;13&lt;/pages&gt;&lt;volume&gt;5&lt;/volume&gt;&lt;number&gt;undefined&lt;/number&gt;&lt;dates&gt;&lt;year&gt;2005&lt;/year&gt;&lt;/dates&gt;&lt;label&gt;2.509&lt;/label&gt;&lt;urls&gt;&lt;/urls&gt;&lt;/record&gt;&lt;/Cite&gt;&lt;/EndNote&gt;</w:instrText>
      </w:r>
      <w:r w:rsidRPr="00551A28">
        <w:rPr>
          <w:rFonts w:ascii="Calibri" w:hAnsi="Calibri" w:cs="Calibri"/>
          <w:b w:val="0"/>
          <w:bCs w:val="0"/>
          <w:color w:val="auto"/>
        </w:rPr>
        <w:fldChar w:fldCharType="separate"/>
      </w:r>
      <w:r w:rsidRPr="00551A28">
        <w:rPr>
          <w:rFonts w:ascii="Calibri" w:hAnsi="Calibri" w:cs="Calibri"/>
          <w:b w:val="0"/>
          <w:bCs w:val="0"/>
          <w:color w:val="auto"/>
        </w:rPr>
        <w:t>[</w:t>
      </w:r>
      <w:hyperlink w:anchor="_ENREF_19" w:tooltip="SP, 2005 #17" w:history="1">
        <w:r w:rsidRPr="00551A28">
          <w:rPr>
            <w:rFonts w:ascii="Calibri" w:hAnsi="Calibri" w:cs="Calibri"/>
            <w:b w:val="0"/>
            <w:bCs w:val="0"/>
            <w:color w:val="auto"/>
          </w:rPr>
          <w:t>19</w:t>
        </w:r>
      </w:hyperlink>
      <w:r w:rsidRPr="00551A28">
        <w:rPr>
          <w:rFonts w:ascii="Calibri" w:hAnsi="Calibri" w:cs="Calibri"/>
          <w:b w:val="0"/>
          <w:bCs w:val="0"/>
          <w:color w:val="auto"/>
        </w:rPr>
        <w:t>]</w:t>
      </w:r>
      <w:r w:rsidRPr="00551A28">
        <w:rPr>
          <w:rFonts w:ascii="Calibri" w:hAnsi="Calibri" w:cs="Calibri"/>
          <w:b w:val="0"/>
          <w:bCs w:val="0"/>
          <w:color w:val="auto"/>
        </w:rPr>
        <w:fldChar w:fldCharType="end"/>
      </w:r>
      <w:r w:rsidRPr="00551A28">
        <w:rPr>
          <w:rFonts w:ascii="Calibri" w:hAnsi="Calibri" w:cs="Calibri"/>
          <w:b w:val="0"/>
          <w:bCs w:val="0"/>
          <w:color w:val="auto"/>
        </w:rPr>
        <w:t xml:space="preserve"> </w:t>
      </w:r>
    </w:p>
    <w:p w14:paraId="49EECB4E" w14:textId="77777777" w:rsidR="002D75EE" w:rsidRPr="003B2AE5" w:rsidRDefault="002D75EE" w:rsidP="002D75EE">
      <w:pPr>
        <w:pStyle w:val="3"/>
        <w:spacing w:line="480" w:lineRule="auto"/>
        <w:rPr>
          <w:rFonts w:ascii="Calibri" w:hAnsi="Calibri" w:cs="Calibri"/>
          <w:color w:val="000000" w:themeColor="text1"/>
          <w:sz w:val="22"/>
        </w:rPr>
      </w:pPr>
    </w:p>
    <w:bookmarkStart w:id="1" w:name="_Hlk28094697"/>
    <w:p w14:paraId="68FA5D1B" w14:textId="77777777" w:rsidR="002D75EE" w:rsidRPr="003B2AE5" w:rsidRDefault="002D75EE" w:rsidP="002D75EE">
      <w:pPr>
        <w:pStyle w:val="3"/>
        <w:spacing w:line="480" w:lineRule="auto"/>
        <w:jc w:val="left"/>
        <w:rPr>
          <w:rFonts w:ascii="Calibri" w:hAnsi="Calibri" w:cs="Calibri"/>
          <w:color w:val="000000" w:themeColor="text1"/>
          <w:sz w:val="22"/>
        </w:rPr>
      </w:pPr>
      <m:oMath>
        <m:bar>
          <m:barPr>
            <m:pos m:val="top"/>
            <m:ctrlPr>
              <w:rPr>
                <w:rFonts w:ascii="Cambria Math" w:hAnsi="Cambria Math" w:cs="Calibri"/>
                <w:i/>
                <w:color w:val="000000" w:themeColor="text1"/>
                <w:sz w:val="22"/>
              </w:rPr>
            </m:ctrlPr>
          </m:barPr>
          <m:e>
            <m:r>
              <w:rPr>
                <w:rFonts w:ascii="Cambria Math" w:hAnsi="Cambria Math" w:cs="Calibri"/>
                <w:color w:val="000000" w:themeColor="text1"/>
                <w:sz w:val="22"/>
              </w:rPr>
              <m:t>X</m:t>
            </m:r>
          </m:e>
        </m:bar>
        <w:bookmarkEnd w:id="1"/>
        <m:r>
          <w:rPr>
            <w:rFonts w:ascii="Cambria Math" w:hAnsi="Cambria Math" w:cs="Calibri"/>
            <w:color w:val="000000" w:themeColor="text1"/>
            <w:sz w:val="22"/>
          </w:rPr>
          <m:t>≈</m:t>
        </m:r>
        <m:d>
          <m:dPr>
            <m:begChr m:val="{"/>
            <m:endChr m:val=""/>
            <m:ctrlPr>
              <w:rPr>
                <w:rFonts w:ascii="Cambria Math" w:hAnsi="Cambria Math" w:cs="Calibri"/>
                <w:i/>
                <w:color w:val="000000" w:themeColor="text1"/>
                <w:sz w:val="22"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  <w:color w:val="000000" w:themeColor="text1"/>
                    <w:sz w:val="22"/>
                  </w:rPr>
                </m:ctrlPr>
              </m:eqArrPr>
              <m:e>
                <m:f>
                  <m:fPr>
                    <m:ctrlPr>
                      <w:rPr>
                        <w:rFonts w:ascii="Cambria Math" w:eastAsia="Cambria Math" w:hAnsi="Cambria Math" w:cs="Times New Roman"/>
                        <w:iCs/>
                        <w:color w:val="000000" w:themeColor="text1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Cs/>
                            <w:color w:val="000000" w:themeColor="text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  <m:t>Q1+Q3+2m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4</m:t>
                    </m:r>
                  </m:den>
                </m:f>
              </m:e>
              <m:e>
                <m:r>
                  <w:rPr>
                    <w:rFonts w:ascii="Cambria Math" w:hAnsi="Cambria Math" w:cs="Calibri"/>
                    <w:color w:val="000000" w:themeColor="text1"/>
                    <w:sz w:val="22"/>
                  </w:rPr>
                  <m:t xml:space="preserve">m </m:t>
                </m:r>
                <m:r>
                  <w:rPr>
                    <w:rFonts w:ascii="Cambria Math" w:hAnsi="Cambria Math" w:cs="Calibri" w:hint="eastAsia"/>
                    <w:color w:val="000000" w:themeColor="text1"/>
                    <w:sz w:val="22"/>
                  </w:rPr>
                  <m:t>，</m:t>
                </m:r>
                <m:r>
                  <w:rPr>
                    <w:rFonts w:ascii="Cambria Math" w:hAnsi="Cambria Math" w:cs="Calibri"/>
                    <w:color w:val="000000" w:themeColor="text1"/>
                    <w:sz w:val="22"/>
                  </w:rPr>
                  <m:t xml:space="preserve">    n&gt;25</m:t>
                </m:r>
              </m:e>
            </m:eqArr>
          </m:e>
        </m:d>
      </m:oMath>
      <w:r w:rsidRPr="003B2AE5">
        <w:rPr>
          <w:rFonts w:ascii="Calibri" w:hAnsi="Calibri" w:cs="Calibri"/>
          <w:color w:val="000000" w:themeColor="text1"/>
          <w:sz w:val="22"/>
        </w:rPr>
        <w:t xml:space="preserve"> </w:t>
      </w:r>
      <w:r w:rsidRPr="003B2AE5">
        <w:rPr>
          <w:rFonts w:ascii="Calibri" w:hAnsi="Calibri" w:cs="Calibri" w:hint="eastAsia"/>
          <w:color w:val="000000" w:themeColor="text1"/>
          <w:sz w:val="22"/>
        </w:rPr>
        <w:t>，</w:t>
      </w:r>
      <w:r w:rsidRPr="003B2AE5">
        <w:rPr>
          <w:rFonts w:ascii="Calibri" w:hAnsi="Calibri" w:cs="Calibri"/>
          <w:color w:val="000000" w:themeColor="text1"/>
          <w:sz w:val="22"/>
        </w:rPr>
        <w:t xml:space="preserve"> </w:t>
      </w:r>
      <m:oMath>
        <m:r>
          <m:rPr>
            <m:sty m:val="p"/>
          </m:rPr>
          <w:rPr>
            <w:rFonts w:ascii="Cambria Math" w:eastAsia="SimSun" w:hAnsi="Cambria Math" w:cs="Times New Roman"/>
            <w:color w:val="000000" w:themeColor="text1"/>
          </w:rPr>
          <m:t>n≤25</m:t>
        </m:r>
      </m:oMath>
    </w:p>
    <w:p w14:paraId="67D2B29E" w14:textId="77777777" w:rsidR="002D75EE" w:rsidRPr="003B2AE5" w:rsidRDefault="002D75EE" w:rsidP="002D75EE">
      <w:pPr>
        <w:pStyle w:val="3"/>
        <w:spacing w:line="480" w:lineRule="auto"/>
        <w:rPr>
          <w:rFonts w:ascii="Calibri" w:hAnsi="Calibri" w:cs="Calibri"/>
          <w:color w:val="000000" w:themeColor="text1"/>
          <w:sz w:val="22"/>
        </w:rPr>
      </w:pPr>
    </w:p>
    <w:p w14:paraId="191B4120" w14:textId="77777777" w:rsidR="002D75EE" w:rsidRPr="003B2AE5" w:rsidRDefault="002D75EE" w:rsidP="002D75EE">
      <w:pPr>
        <w:pStyle w:val="3"/>
        <w:spacing w:line="480" w:lineRule="auto"/>
        <w:jc w:val="left"/>
        <w:rPr>
          <w:rFonts w:ascii="Times New Roman" w:eastAsia="DengXian" w:hAnsi="Times New Roman" w:cs="Times New Roman"/>
          <w:color w:val="FF0000"/>
        </w:rPr>
      </w:pPr>
      <w:r w:rsidRPr="003B2AE5">
        <w:rPr>
          <w:rFonts w:ascii="Times New Roman" w:hAnsi="Times New Roman" w:cs="Times New Roman"/>
          <w:color w:val="000000" w:themeColor="text1"/>
        </w:rPr>
        <w:t>SD</w:t>
      </w:r>
      <w:r w:rsidRPr="003B2AE5">
        <w:rPr>
          <w:rFonts w:ascii="Times New Roman" w:eastAsia="DengXian" w:hAnsi="Times New Roman" w:cs="Times New Roman"/>
          <w:color w:val="000000" w:themeColor="text1"/>
        </w:rPr>
        <w:t>≈</w:t>
      </w:r>
      <m:oMath>
        <m:d>
          <m:dPr>
            <m:begChr m:val="{"/>
            <m:endChr m:val=""/>
            <m:ctrlPr>
              <w:rPr>
                <w:rFonts w:ascii="Cambria Math" w:eastAsia="DengXian" w:hAnsi="Cambria Math" w:cs="Times New Roman"/>
                <w:i/>
                <w:color w:val="000000" w:themeColor="text1"/>
              </w:rPr>
            </m:ctrlPr>
          </m:dPr>
          <m:e>
            <m:eqArr>
              <m:eqArrPr>
                <m:ctrlPr>
                  <w:rPr>
                    <w:rFonts w:ascii="Cambria Math" w:eastAsia="SimSun" w:hAnsi="Cambria Math" w:cs="Times New Roman"/>
                    <w:iCs/>
                    <w:color w:val="000000" w:themeColor="text1"/>
                  </w:rPr>
                </m:ctrlPr>
              </m:eqArrPr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iCs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="SimSun" w:hAnsi="Cambria Math" w:cs="Times New Roman"/>
                            <w:iCs/>
                            <w:color w:val="000000" w:themeColor="text1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  <m:t>12</m:t>
                        </m:r>
                      </m:e>
                    </m:rad>
                  </m:den>
                </m:f>
                <m:r>
                  <m:rPr>
                    <m:sty m:val="p"/>
                  </m:rPr>
                  <w:rPr>
                    <w:rFonts w:ascii="Cambria Math" w:eastAsia="MS Gothic" w:hAnsi="Cambria Math" w:cs="Times New Roman"/>
                    <w:color w:val="000000" w:themeColor="text1"/>
                  </w:rPr>
                  <m:t>*</m:t>
                </m:r>
                <m:sSup>
                  <m:sSupPr>
                    <m:ctrlPr>
                      <w:rPr>
                        <w:rFonts w:ascii="Cambria Math" w:eastAsia="SimSun" w:hAnsi="Cambria Math" w:cs="Times New Roman"/>
                        <w:iCs/>
                        <w:color w:val="000000" w:themeColor="text1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SimSun" w:hAnsi="Cambria Math" w:cs="Times New Roman"/>
                            <w:iCs/>
                            <w:color w:val="000000" w:themeColor="text1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SimSun" w:hAnsi="Cambria Math" w:cs="Times New Roman"/>
                                <w:iCs/>
                                <w:color w:val="000000" w:themeColor="text1"/>
                              </w:rPr>
                            </m:ctrlPr>
                          </m:sSupPr>
                          <m:e>
                            <m:d>
                              <m:dPr>
                                <m:begChr m:val="（"/>
                                <m:endChr m:val="）"/>
                                <m:ctrlPr>
                                  <w:rPr>
                                    <w:rFonts w:ascii="Cambria Math" w:eastAsia="SimSun" w:hAnsi="Cambria Math" w:cs="Times New Roman"/>
                                    <w:iCs/>
                                    <w:color w:val="000000" w:themeColor="text1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</w:rPr>
                                  <m:t>Q3-Q1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SimSun" w:hAnsi="Cambria Math" w:cs="Times New Roman"/>
                                <w:color w:val="000000" w:themeColor="text1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Cs/>
                                <w:color w:val="000000" w:themeColor="text1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SimSun" w:hAnsi="Cambria Math" w:cs="Times New Roman"/>
                                    <w:iCs/>
                                    <w:color w:val="000000" w:themeColor="text1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SimSun" w:hAnsi="Cambria Math" w:cs="Times New Roman"/>
                                        <w:iCs/>
                                        <w:color w:val="000000" w:themeColor="text1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SimSun" w:hAnsi="Cambria Math" w:cs="Times New Roman"/>
                                        <w:color w:val="000000" w:themeColor="text1"/>
                                      </w:rPr>
                                      <m:t>Q1+Q3-2m</m:t>
                                    </m:r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SimSun" w:hAnsi="Cambria Math" w:cs="Times New Roman"/>
                                <w:color w:val="000000" w:themeColor="text1"/>
                              </w:rPr>
                              <m:t>4</m:t>
                            </m:r>
                          </m:den>
                        </m:f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</w:rPr>
                          <m:t>2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</w:rPr>
                  <m:t>,n≤15</m:t>
                </m:r>
              </m:e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iCs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Q3-Q1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4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</w:rPr>
                  <m:t xml:space="preserve"> ,  15&lt;n≤70</m:t>
                </m:r>
              </m:e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iCs/>
                        <w:color w:val="000000" w:themeColor="text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Q3-Q1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 w:themeColor="text1"/>
                      </w:rPr>
                      <m:t>6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</w:rPr>
                  <m:t xml:space="preserve">   ,  n&gt;70</m:t>
                </m:r>
              </m:e>
            </m:eqArr>
          </m:e>
        </m:d>
      </m:oMath>
    </w:p>
    <w:p w14:paraId="459E276A" w14:textId="77777777" w:rsidR="002D75EE" w:rsidRPr="003B2AE5" w:rsidRDefault="002D75EE" w:rsidP="002D75EE">
      <w:pPr>
        <w:pStyle w:val="3"/>
        <w:spacing w:line="480" w:lineRule="auto"/>
        <w:rPr>
          <w:rFonts w:ascii="Times New Roman" w:hAnsi="Times New Roman" w:cs="Times New Roman"/>
          <w:color w:val="FF0000"/>
        </w:rPr>
      </w:pPr>
    </w:p>
    <w:p w14:paraId="5F5AEF96" w14:textId="77777777" w:rsidR="002D75EE" w:rsidRPr="003B2AE5" w:rsidRDefault="002D75EE" w:rsidP="002D75EE">
      <w:pPr>
        <w:pStyle w:val="3"/>
        <w:spacing w:line="480" w:lineRule="auto"/>
        <w:rPr>
          <w:rFonts w:ascii="Calibri" w:hAnsi="Calibri" w:cs="Calibri"/>
          <w:color w:val="FF0000"/>
          <w:sz w:val="22"/>
        </w:rPr>
      </w:pPr>
      <w:r w:rsidRPr="00551A28">
        <w:rPr>
          <w:rFonts w:ascii="Calibri" w:hAnsi="Calibri" w:cs="Calibri"/>
          <w:color w:val="auto"/>
          <w:sz w:val="22"/>
        </w:rPr>
        <w:t xml:space="preserve">We used the </w:t>
      </w:r>
      <w:bookmarkStart w:id="2" w:name="_Hlk38542865"/>
      <w:r w:rsidRPr="00551A28">
        <w:rPr>
          <w:rFonts w:ascii="Calibri" w:hAnsi="Calibri" w:cs="Calibri"/>
          <w:color w:val="auto"/>
          <w:sz w:val="22"/>
        </w:rPr>
        <w:t>random effects model</w:t>
      </w:r>
      <w:bookmarkEnd w:id="2"/>
      <w:r w:rsidRPr="00551A28">
        <w:rPr>
          <w:rFonts w:ascii="Calibri" w:hAnsi="Calibri" w:cs="Calibri"/>
          <w:color w:val="auto"/>
          <w:sz w:val="22"/>
        </w:rPr>
        <w:t xml:space="preserve"> to merge the data</w:t>
      </w:r>
      <w:r w:rsidRPr="00551A28">
        <w:rPr>
          <w:rFonts w:ascii="Calibri" w:hAnsi="Calibri" w:cs="Calibri" w:hint="eastAsia"/>
          <w:color w:val="auto"/>
          <w:sz w:val="22"/>
        </w:rPr>
        <w:t>.</w:t>
      </w:r>
      <w:r w:rsidRPr="00551A28">
        <w:rPr>
          <w:rFonts w:ascii="Calibri" w:hAnsi="Calibri" w:cs="Calibri"/>
          <w:color w:val="auto"/>
          <w:sz w:val="22"/>
        </w:rPr>
        <w:t xml:space="preserve"> </w:t>
      </w:r>
      <w:r w:rsidRPr="003B2AE5">
        <w:rPr>
          <w:rFonts w:ascii="Calibri" w:hAnsi="Calibri" w:cs="Calibri"/>
          <w:sz w:val="22"/>
        </w:rPr>
        <w:t xml:space="preserve">The funnel chart was examined by Egger and </w:t>
      </w:r>
      <w:proofErr w:type="spellStart"/>
      <w:r w:rsidRPr="003B2AE5">
        <w:rPr>
          <w:rFonts w:ascii="Calibri" w:hAnsi="Calibri" w:cs="Calibri"/>
          <w:sz w:val="22"/>
        </w:rPr>
        <w:t>Begg’s</w:t>
      </w:r>
      <w:proofErr w:type="spellEnd"/>
      <w:r w:rsidRPr="003B2AE5">
        <w:rPr>
          <w:rFonts w:ascii="Calibri" w:hAnsi="Calibri" w:cs="Calibri"/>
          <w:sz w:val="22"/>
        </w:rPr>
        <w:t xml:space="preserve"> methods </w:t>
      </w:r>
      <w:r w:rsidRPr="003B2AE5">
        <w:rPr>
          <w:rFonts w:ascii="Calibri" w:hAnsi="Calibri" w:cs="Calibri"/>
          <w:sz w:val="22"/>
        </w:rPr>
        <w:fldChar w:fldCharType="begin"/>
      </w:r>
      <w:r w:rsidRPr="003B2AE5">
        <w:rPr>
          <w:rFonts w:ascii="Calibri" w:hAnsi="Calibri" w:cs="Calibri"/>
          <w:sz w:val="22"/>
        </w:rPr>
        <w:instrText xml:space="preserve"> ADDIN EN.CITE &lt;EndNote&gt;&lt;Cite&gt;&lt;Author&gt;Y&lt;/Author&gt;&lt;Year&gt;2020&lt;/Year&gt;&lt;RecNum&gt;42&lt;/RecNum&gt;&lt;DisplayText&gt;[20]&lt;/DisplayText&gt;&lt;record&gt;&lt;rec-number&gt;20&lt;/rec-number&gt;&lt;foreign-keys&gt;&lt;key app="EN" db-id="dfeae0ssb2e05uezavnxdts2t5f5a9waavzz"&gt;20&lt;/key&gt;&lt;/foreign-keys&gt;&lt;ref-type name="Journal Article"&gt;17&lt;/ref-type&gt;&lt;contributors&gt;&lt;authors&gt;&lt;author&gt;Zhu Y&lt;/author&gt;&lt;author&gt;Liu J&lt;/author&gt;&lt;author&gt;Jiang H&lt;/author&gt;&lt;author&gt;Brown TJ&lt;/author&gt;&lt;author&gt;Tian Q&lt;/author&gt;&lt;author&gt;Yang Y&lt;/author&gt;&lt;author&gt;Wang C&lt;/author&gt;&lt;author&gt;Xu H&lt;/author&gt;&lt;author&gt;Liu J&lt;/author&gt;&lt;author&gt;Gan Y&lt;/author&gt;&lt;author&gt;Lu Z&lt;/author&gt;&lt;/authors&gt;&lt;/contributors&gt;&lt;titles&gt;&lt;title&gt;Are long working hours associated with weight-related outcomes? A meta-analysis of observational studies&lt;/title&gt;&lt;secondary-title&gt;Obesity reviews : an official journal of the International Association for the Study of Obesity&lt;/secondary-title&gt;&lt;/titles&gt;&lt;periodical&gt;&lt;full-title&gt;Obesity reviews : an official journal of the International Association for the Study of Obesity&lt;/full-title&gt;&lt;/periodical&gt;&lt;pages&gt;e12977&lt;/pages&gt;&lt;volume&gt;21&lt;/volume&gt;&lt;number&gt;3&lt;/number&gt;&lt;dates&gt;&lt;year&gt;2020&lt;/year&gt;&lt;/dates&gt;&lt;accession-num&gt;31814253&lt;/accession-num&gt;&lt;label&gt;8.192&lt;/label&gt;&lt;urls&gt;&lt;/urls&gt;&lt;electronic-resource-num&gt;10.1111/obr.12977&lt;/electronic-resource-num&gt;&lt;/record&gt;&lt;/Cite&gt;&lt;/EndNote&gt;</w:instrText>
      </w:r>
      <w:r w:rsidRPr="003B2AE5">
        <w:rPr>
          <w:rFonts w:ascii="Calibri" w:hAnsi="Calibri" w:cs="Calibri"/>
          <w:sz w:val="22"/>
        </w:rPr>
        <w:fldChar w:fldCharType="separate"/>
      </w:r>
      <w:r w:rsidRPr="003B2AE5">
        <w:rPr>
          <w:rFonts w:ascii="Calibri" w:hAnsi="Calibri" w:cs="Calibri"/>
          <w:sz w:val="22"/>
        </w:rPr>
        <w:t>[</w:t>
      </w:r>
      <w:hyperlink w:anchor="_ENREF_20" w:tooltip="Y, 2020 #42" w:history="1">
        <w:r w:rsidRPr="003B2AE5">
          <w:rPr>
            <w:rFonts w:ascii="Calibri" w:hAnsi="Calibri" w:cs="Calibri"/>
            <w:sz w:val="22"/>
          </w:rPr>
          <w:t>20</w:t>
        </w:r>
      </w:hyperlink>
      <w:r w:rsidRPr="003B2AE5">
        <w:rPr>
          <w:rFonts w:ascii="Calibri" w:hAnsi="Calibri" w:cs="Calibri"/>
          <w:sz w:val="22"/>
        </w:rPr>
        <w:t>]</w:t>
      </w:r>
      <w:r w:rsidRPr="003B2AE5">
        <w:rPr>
          <w:rFonts w:ascii="Calibri" w:hAnsi="Calibri" w:cs="Calibri"/>
          <w:sz w:val="22"/>
        </w:rPr>
        <w:fldChar w:fldCharType="end"/>
      </w:r>
      <w:r w:rsidRPr="003B2AE5">
        <w:rPr>
          <w:rFonts w:ascii="Calibri" w:hAnsi="Calibri" w:cs="Calibri"/>
          <w:sz w:val="22"/>
        </w:rPr>
        <w:t>. It indicated that there was a publication bias of p &lt;0.05. Data stability was assessed through a sensitivity analysis. We performed this analysis by deleting a study, combining effects, and comparing the results of a sufficient number of studies (&lt;3 n &lt;10). In the above study, we used the R language by loading “meta” packages (</w:t>
      </w:r>
      <w:hyperlink r:id="rId4" w:history="1">
        <w:r w:rsidRPr="003B2AE5">
          <w:rPr>
            <w:rStyle w:val="Hyperlink"/>
            <w:rFonts w:ascii="Calibri" w:hAnsi="Calibri" w:cs="Calibri"/>
            <w:sz w:val="22"/>
          </w:rPr>
          <w:t>https://cran.r-project.org/web/packages/meta/index.html</w:t>
        </w:r>
      </w:hyperlink>
      <w:r w:rsidRPr="003B2AE5">
        <w:rPr>
          <w:rFonts w:ascii="Calibri" w:hAnsi="Calibri" w:cs="Calibri"/>
          <w:sz w:val="22"/>
        </w:rPr>
        <w:t xml:space="preserve">). </w:t>
      </w:r>
    </w:p>
    <w:p w14:paraId="78CCB68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Baskerville-Roman">
    <w:altName w:val="Cambria"/>
    <w:panose1 w:val="00000000000000000000"/>
    <w:charset w:val="00"/>
    <w:family w:val="roman"/>
    <w:notTrueType/>
    <w:pitch w:val="default"/>
  </w:font>
  <w:font w:name="HelveticaNeueLTStd-BdCn">
    <w:altName w:val="Arial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5EE"/>
    <w:rsid w:val="002D75E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F412E"/>
  <w15:chartTrackingRefBased/>
  <w15:docId w15:val="{99A5DFDA-61F5-4DF0-80C6-CDF335CFD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75EE"/>
    <w:rPr>
      <w:color w:val="0563C1" w:themeColor="hyperlink"/>
      <w:u w:val="single"/>
    </w:rPr>
  </w:style>
  <w:style w:type="paragraph" w:customStyle="1" w:styleId="3">
    <w:name w:val="样式3"/>
    <w:basedOn w:val="Normal"/>
    <w:link w:val="30"/>
    <w:qFormat/>
    <w:rsid w:val="002D75EE"/>
    <w:pPr>
      <w:widowControl w:val="0"/>
      <w:snapToGrid w:val="0"/>
      <w:spacing w:after="0" w:line="240" w:lineRule="auto"/>
      <w:jc w:val="both"/>
    </w:pPr>
    <w:rPr>
      <w:rFonts w:ascii="NewBaskerville-Roman" w:eastAsiaTheme="minorEastAsia" w:hAnsi="NewBaskerville-Roman"/>
      <w:color w:val="231F20"/>
      <w:kern w:val="2"/>
      <w:sz w:val="24"/>
      <w:szCs w:val="24"/>
      <w:lang w:eastAsia="zh-CN"/>
    </w:rPr>
  </w:style>
  <w:style w:type="paragraph" w:customStyle="1" w:styleId="4">
    <w:name w:val="样式4"/>
    <w:basedOn w:val="3"/>
    <w:link w:val="40"/>
    <w:qFormat/>
    <w:rsid w:val="002D75EE"/>
    <w:rPr>
      <w:rFonts w:ascii="HelveticaNeueLTStd-BdCn" w:hAnsi="HelveticaNeueLTStd-BdCn"/>
      <w:b/>
      <w:bCs/>
      <w:color w:val="414099"/>
    </w:rPr>
  </w:style>
  <w:style w:type="character" w:customStyle="1" w:styleId="30">
    <w:name w:val="样式3 字符"/>
    <w:basedOn w:val="DefaultParagraphFont"/>
    <w:link w:val="3"/>
    <w:rsid w:val="002D75EE"/>
    <w:rPr>
      <w:rFonts w:ascii="NewBaskerville-Roman" w:eastAsiaTheme="minorEastAsia" w:hAnsi="NewBaskerville-Roman"/>
      <w:color w:val="231F20"/>
      <w:kern w:val="2"/>
      <w:sz w:val="24"/>
      <w:szCs w:val="24"/>
      <w:lang w:eastAsia="zh-CN"/>
    </w:rPr>
  </w:style>
  <w:style w:type="character" w:customStyle="1" w:styleId="40">
    <w:name w:val="样式4 字符"/>
    <w:basedOn w:val="30"/>
    <w:link w:val="4"/>
    <w:rsid w:val="002D75EE"/>
    <w:rPr>
      <w:rFonts w:ascii="HelveticaNeueLTStd-BdCn" w:eastAsiaTheme="minorEastAsia" w:hAnsi="HelveticaNeueLTStd-BdCn"/>
      <w:b/>
      <w:bCs/>
      <w:color w:val="414099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ran.r-project.org/web/packages/meta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2020-05-29T02:45:00Z</dcterms:created>
  <dcterms:modified xsi:type="dcterms:W3CDTF">2020-05-29T02:45:00Z</dcterms:modified>
</cp:coreProperties>
</file>