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/>
          <w:sz w:val="36"/>
          <w:szCs w:val="36"/>
          <w:vertAlign w:val="subscript"/>
        </w:rPr>
      </w:pPr>
      <w:bookmarkStart w:id="0" w:name="_Hlk47022339"/>
      <w:bookmarkEnd w:id="0"/>
      <w:r>
        <w:rPr>
          <w:rFonts w:ascii="Times New Roman" w:hAnsi="Times New Roman"/>
          <w:sz w:val="36"/>
          <w:szCs w:val="36"/>
        </w:rPr>
        <w:t>Tunnel Engineering for Modulating the Substrate Preference in Decarbonylase P450</w:t>
      </w:r>
      <w:r>
        <w:rPr>
          <w:rFonts w:ascii="Times New Roman" w:hAnsi="Times New Roman"/>
          <w:sz w:val="36"/>
          <w:szCs w:val="36"/>
          <w:vertAlign w:val="subscript"/>
        </w:rPr>
        <w:t>Bsβ</w:t>
      </w:r>
      <w:r>
        <w:rPr>
          <w:rFonts w:ascii="Times New Roman" w:hAnsi="Times New Roman"/>
          <w:sz w:val="36"/>
          <w:szCs w:val="36"/>
        </w:rPr>
        <w:t>HI</w:t>
      </w:r>
    </w:p>
    <w:p>
      <w:pPr>
        <w:spacing w:after="240"/>
        <w:rPr>
          <w:rFonts w:ascii="Times New Roman" w:hAnsi="Times New Roman"/>
          <w:bCs/>
          <w:color w:val="000000"/>
          <w:sz w:val="24"/>
        </w:rPr>
      </w:pPr>
    </w:p>
    <w:p>
      <w:pPr>
        <w:spacing w:after="240"/>
        <w:rPr>
          <w:rFonts w:ascii="Times New Roman" w:hAnsi="Times New Roman"/>
          <w:bCs/>
          <w:color w:val="000000"/>
          <w:sz w:val="24"/>
        </w:rPr>
      </w:pPr>
      <w:r>
        <w:rPr>
          <w:rFonts w:ascii="Times New Roman" w:hAnsi="Times New Roman"/>
          <w:bCs/>
          <w:color w:val="000000"/>
          <w:sz w:val="24"/>
        </w:rPr>
        <w:t>Shuaiqi Meng</w:t>
      </w:r>
      <w:r>
        <w:rPr>
          <w:rFonts w:ascii="Times New Roman" w:hAnsi="Times New Roman"/>
          <w:bCs/>
          <w:color w:val="000000"/>
          <w:sz w:val="24"/>
          <w:vertAlign w:val="superscript"/>
        </w:rPr>
        <w:t xml:space="preserve">a, b, </w:t>
      </w:r>
      <w:r>
        <w:rPr>
          <w:rFonts w:ascii="Times New Roman" w:hAnsi="Times New Roman"/>
          <w:color w:val="000000"/>
          <w:sz w:val="24"/>
          <w:vertAlign w:val="superscript"/>
        </w:rPr>
        <w:t>#</w:t>
      </w:r>
      <w:r>
        <w:rPr>
          <w:rFonts w:ascii="Times New Roman" w:hAnsi="Times New Roman"/>
          <w:bCs/>
          <w:color w:val="000000"/>
          <w:sz w:val="24"/>
        </w:rPr>
        <w:t>, Ruipeng An</w:t>
      </w:r>
      <w:r>
        <w:rPr>
          <w:rFonts w:ascii="Times New Roman" w:hAnsi="Times New Roman"/>
          <w:bCs/>
          <w:color w:val="000000"/>
          <w:sz w:val="24"/>
          <w:vertAlign w:val="superscript"/>
        </w:rPr>
        <w:t xml:space="preserve">a, </w:t>
      </w:r>
      <w:r>
        <w:rPr>
          <w:rFonts w:ascii="Times New Roman" w:hAnsi="Times New Roman"/>
          <w:color w:val="000000"/>
          <w:sz w:val="24"/>
          <w:vertAlign w:val="superscript"/>
        </w:rPr>
        <w:t>#</w:t>
      </w:r>
      <w:r>
        <w:rPr>
          <w:rFonts w:ascii="Times New Roman" w:hAnsi="Times New Roman"/>
          <w:bCs/>
          <w:color w:val="000000"/>
          <w:sz w:val="24"/>
        </w:rPr>
        <w:t>, Zhongyu Li</w:t>
      </w:r>
      <w:r>
        <w:rPr>
          <w:rFonts w:ascii="Times New Roman" w:hAnsi="Times New Roman"/>
          <w:bCs/>
          <w:color w:val="000000"/>
          <w:sz w:val="24"/>
          <w:vertAlign w:val="superscript"/>
        </w:rPr>
        <w:t>a</w:t>
      </w:r>
      <w:r>
        <w:rPr>
          <w:rFonts w:ascii="Times New Roman" w:hAnsi="Times New Roman"/>
          <w:bCs/>
          <w:color w:val="000000"/>
          <w:sz w:val="24"/>
        </w:rPr>
        <w:t>, Ulrich Schwaneberg</w:t>
      </w:r>
      <w:r>
        <w:rPr>
          <w:rFonts w:ascii="Times New Roman" w:hAnsi="Times New Roman"/>
          <w:bCs/>
          <w:color w:val="000000"/>
          <w:sz w:val="24"/>
          <w:vertAlign w:val="superscript"/>
        </w:rPr>
        <w:t>b, c</w:t>
      </w:r>
      <w:r>
        <w:rPr>
          <w:rFonts w:ascii="Times New Roman" w:hAnsi="Times New Roman"/>
          <w:bCs/>
          <w:color w:val="000000"/>
          <w:sz w:val="24"/>
        </w:rPr>
        <w:t>, Yu Ji</w:t>
      </w:r>
      <w:r>
        <w:rPr>
          <w:rFonts w:ascii="Times New Roman" w:hAnsi="Times New Roman"/>
          <w:bCs/>
          <w:color w:val="000000"/>
          <w:sz w:val="24"/>
          <w:vertAlign w:val="superscript"/>
        </w:rPr>
        <w:t>b</w:t>
      </w:r>
      <w:r>
        <w:rPr>
          <w:rFonts w:ascii="Times New Roman" w:hAnsi="Times New Roman"/>
          <w:bCs/>
          <w:color w:val="000000"/>
          <w:sz w:val="24"/>
        </w:rPr>
        <w:t>, Mehdi D. Davari</w:t>
      </w:r>
      <w:r>
        <w:rPr>
          <w:rFonts w:ascii="Times New Roman" w:hAnsi="Times New Roman"/>
          <w:bCs/>
          <w:color w:val="000000"/>
          <w:sz w:val="24"/>
          <w:vertAlign w:val="superscript"/>
        </w:rPr>
        <w:t>b</w:t>
      </w:r>
      <w:r>
        <w:rPr>
          <w:rFonts w:ascii="Times New Roman" w:hAnsi="Times New Roman"/>
          <w:bCs/>
          <w:color w:val="000000"/>
          <w:sz w:val="24"/>
        </w:rPr>
        <w:t>, Fang, Wang</w:t>
      </w:r>
      <w:r>
        <w:rPr>
          <w:rFonts w:ascii="Times New Roman" w:hAnsi="Times New Roman"/>
          <w:bCs/>
          <w:color w:val="000000"/>
          <w:sz w:val="24"/>
          <w:vertAlign w:val="superscript"/>
        </w:rPr>
        <w:t>a</w:t>
      </w:r>
      <w:r>
        <w:rPr>
          <w:rFonts w:ascii="Times New Roman" w:hAnsi="Times New Roman"/>
          <w:bCs/>
          <w:color w:val="000000"/>
          <w:sz w:val="24"/>
        </w:rPr>
        <w:t>, Meng Wang</w:t>
      </w:r>
      <w:r>
        <w:rPr>
          <w:rFonts w:ascii="Times New Roman" w:hAnsi="Times New Roman"/>
          <w:bCs/>
          <w:color w:val="000000"/>
          <w:sz w:val="24"/>
          <w:vertAlign w:val="superscript"/>
        </w:rPr>
        <w:t>a</w:t>
      </w:r>
      <w:r>
        <w:rPr>
          <w:rFonts w:ascii="Times New Roman" w:hAnsi="Times New Roman"/>
          <w:bCs/>
          <w:color w:val="000000"/>
          <w:sz w:val="24"/>
        </w:rPr>
        <w:t>, Meng Qin</w:t>
      </w:r>
      <w:r>
        <w:rPr>
          <w:rFonts w:ascii="Times New Roman" w:hAnsi="Times New Roman"/>
          <w:bCs/>
          <w:color w:val="000000"/>
          <w:sz w:val="24"/>
          <w:vertAlign w:val="superscript"/>
        </w:rPr>
        <w:t>a</w:t>
      </w:r>
      <w:r>
        <w:rPr>
          <w:rFonts w:ascii="Times New Roman" w:hAnsi="Times New Roman"/>
          <w:bCs/>
          <w:color w:val="000000"/>
          <w:sz w:val="24"/>
        </w:rPr>
        <w:t>, Kaili Nie</w:t>
      </w:r>
      <w:r>
        <w:rPr>
          <w:rFonts w:ascii="Times New Roman" w:hAnsi="Times New Roman"/>
          <w:bCs/>
          <w:color w:val="000000"/>
          <w:sz w:val="24"/>
          <w:vertAlign w:val="superscript"/>
        </w:rPr>
        <w:t>a</w:t>
      </w:r>
      <w:r>
        <w:rPr>
          <w:rFonts w:ascii="Times New Roman" w:hAnsi="Times New Roman"/>
          <w:bCs/>
          <w:color w:val="000000"/>
          <w:sz w:val="24"/>
        </w:rPr>
        <w:t>, Luo Liu</w:t>
      </w:r>
      <w:r>
        <w:rPr>
          <w:rFonts w:ascii="Times New Roman" w:hAnsi="Times New Roman"/>
          <w:bCs/>
          <w:color w:val="000000"/>
          <w:sz w:val="24"/>
          <w:vertAlign w:val="superscript"/>
        </w:rPr>
        <w:t xml:space="preserve">a, </w:t>
      </w:r>
      <w:r>
        <w:rPr>
          <w:rFonts w:ascii="Times New Roman" w:hAnsi="Times New Roman"/>
          <w:bCs/>
          <w:color w:val="000000"/>
          <w:sz w:val="24"/>
        </w:rPr>
        <w:t>*</w:t>
      </w:r>
    </w:p>
    <w:p>
      <w:pPr>
        <w:spacing w:after="240"/>
        <w:rPr>
          <w:rFonts w:ascii="Times New Roman" w:hAnsi="Times New Roman"/>
          <w:b/>
          <w:bCs/>
          <w:color w:val="000000"/>
          <w:sz w:val="24"/>
        </w:rPr>
      </w:pPr>
    </w:p>
    <w:p>
      <w:pPr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vertAlign w:val="superscript"/>
        </w:rPr>
        <w:t>1</w:t>
      </w:r>
      <w:r>
        <w:rPr>
          <w:rFonts w:ascii="Times New Roman" w:hAnsi="Times New Roman"/>
          <w:color w:val="000000"/>
          <w:sz w:val="24"/>
        </w:rPr>
        <w:t xml:space="preserve"> Beijing Bioprocess Key Laboratory, Beijing University of Chemical Technology, Beijing, 100029, PR China</w:t>
      </w:r>
    </w:p>
    <w:p>
      <w:pPr>
        <w:spacing w:line="480" w:lineRule="auto"/>
        <w:rPr>
          <w:rFonts w:ascii="Times New Roman" w:hAnsi="Times New Roman"/>
          <w:color w:val="000000"/>
          <w:sz w:val="24"/>
          <w:lang w:val="de-DE"/>
        </w:rPr>
      </w:pPr>
      <w:r>
        <w:rPr>
          <w:rFonts w:ascii="Times New Roman" w:hAnsi="Times New Roman"/>
          <w:color w:val="000000"/>
          <w:sz w:val="24"/>
          <w:vertAlign w:val="superscript"/>
          <w:lang w:val="de-DE"/>
        </w:rPr>
        <w:t>2</w:t>
      </w:r>
      <w:r>
        <w:rPr>
          <w:rFonts w:ascii="Times New Roman" w:hAnsi="Times New Roman"/>
          <w:color w:val="000000"/>
          <w:sz w:val="24"/>
          <w:lang w:val="de-DE"/>
        </w:rPr>
        <w:t> Lehrstuhl für Biotechnologie, RWTH Aachen University, Worringerweg 3, 52074 Aachen, Germany</w:t>
      </w:r>
    </w:p>
    <w:p>
      <w:pPr>
        <w:spacing w:line="480" w:lineRule="auto"/>
        <w:rPr>
          <w:rFonts w:ascii="Times New Roman" w:hAnsi="Times New Roman"/>
          <w:color w:val="000000"/>
          <w:sz w:val="24"/>
          <w:lang w:val="de-DE"/>
        </w:rPr>
      </w:pPr>
      <w:r>
        <w:rPr>
          <w:rFonts w:ascii="Times New Roman" w:hAnsi="Times New Roman"/>
          <w:color w:val="000000"/>
          <w:sz w:val="24"/>
          <w:vertAlign w:val="superscript"/>
          <w:lang w:val="de-DE"/>
        </w:rPr>
        <w:t>3</w:t>
      </w:r>
      <w:r>
        <w:rPr>
          <w:rFonts w:ascii="Times New Roman" w:hAnsi="Times New Roman"/>
          <w:color w:val="000000"/>
          <w:sz w:val="24"/>
          <w:lang w:val="de-DE"/>
        </w:rPr>
        <w:t> DWI-Leibniz Institut für Interaktive Materialien, Forckenbeckstraße 50, 52056 Aachen, Germany</w:t>
      </w:r>
    </w:p>
    <w:p>
      <w:pPr>
        <w:spacing w:line="48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  <w:vertAlign w:val="superscript"/>
        </w:rPr>
        <w:t>#</w:t>
      </w:r>
      <w:r>
        <w:rPr>
          <w:rFonts w:ascii="Times New Roman" w:hAnsi="Times New Roman"/>
          <w:color w:val="000000"/>
          <w:sz w:val="24"/>
        </w:rPr>
        <w:t xml:space="preserve"> same contribution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Tel: 0086 10 64421335</w:t>
      </w:r>
    </w:p>
    <w:p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Fax: 0086 10 64416428</w:t>
      </w:r>
    </w:p>
    <w:p>
      <w:pPr>
        <w:spacing w:line="480" w:lineRule="auto"/>
        <w:rPr>
          <w:rFonts w:ascii="Times New Roman" w:hAnsi="Times New Roman"/>
          <w:color w:val="000000"/>
          <w:sz w:val="24"/>
        </w:rPr>
      </w:pPr>
    </w:p>
    <w:p>
      <w:pPr>
        <w:spacing w:after="24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* To whom correspondence should be addressed. E-mail: liuluo@mail.buct.edu.cn (Luo Liu)</w:t>
      </w:r>
      <w:r>
        <w:rPr>
          <w:rFonts w:ascii="Times New Roman" w:hAnsi="Times New Roman"/>
          <w:sz w:val="24"/>
        </w:rPr>
        <w:t>. Beijing Bioprocess Key Laboratory, Beijing University of Chemical Technology, Beijing, 100029, PR China.</w:t>
      </w: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Table S1</w:t>
      </w:r>
      <w:r>
        <w:rPr>
          <w:rFonts w:ascii="Times New Roman" w:hAnsi="Times New Roman"/>
          <w:sz w:val="24"/>
        </w:rPr>
        <w:t xml:space="preserve"> The residues lining identified tunnels in P450</w:t>
      </w:r>
      <w:r>
        <w:rPr>
          <w:rFonts w:ascii="Times New Roman" w:hAnsi="Times New Roman"/>
          <w:sz w:val="24"/>
          <w:vertAlign w:val="subscript"/>
        </w:rPr>
        <w:t>Bsβ</w:t>
      </w:r>
      <w:r>
        <w:rPr>
          <w:rFonts w:ascii="Times New Roman" w:hAnsi="Times New Roman"/>
          <w:sz w:val="24"/>
        </w:rPr>
        <w:t>HI.</w:t>
      </w:r>
    </w:p>
    <w:p>
      <w:pPr>
        <w:rPr>
          <w:rFonts w:ascii="Times New Roman" w:hAnsi="Times New Roman"/>
          <w:sz w:val="24"/>
        </w:rPr>
      </w:pPr>
    </w:p>
    <w:tbl>
      <w:tblPr>
        <w:tblStyle w:val="7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721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Tunnel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number</w:t>
            </w:r>
          </w:p>
        </w:tc>
        <w:tc>
          <w:tcPr>
            <w:tcW w:w="7219" w:type="dxa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R</w:t>
            </w:r>
            <w:r>
              <w:rPr>
                <w:rFonts w:ascii="Times New Roman" w:hAnsi="Times New Roman"/>
                <w:sz w:val="24"/>
              </w:rPr>
              <w:t xml:space="preserve">esidues lining </w:t>
            </w:r>
            <w:r>
              <w:rPr>
                <w:rFonts w:hint="eastAsia" w:ascii="Times New Roman" w:hAnsi="Times New Roman"/>
                <w:sz w:val="24"/>
              </w:rPr>
              <w:t>in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the</w:t>
            </w:r>
            <w:r>
              <w:rPr>
                <w:rFonts w:ascii="Times New Roman" w:hAnsi="Times New Roman"/>
                <w:sz w:val="24"/>
              </w:rPr>
              <w:t xml:space="preserve"> identified tunnels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Tunnel</w:t>
            </w:r>
            <w:r>
              <w:rPr>
                <w:rFonts w:ascii="Times New Roman" w:hAnsi="Times New Roman"/>
                <w:sz w:val="24"/>
              </w:rPr>
              <w:t xml:space="preserve"> 1</w:t>
            </w:r>
          </w:p>
        </w:tc>
        <w:tc>
          <w:tcPr>
            <w:tcW w:w="7219" w:type="dxa"/>
            <w:tcBorders>
              <w:top w:val="single" w:color="auto" w:sz="6" w:space="0"/>
            </w:tcBorders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H</w:t>
            </w:r>
            <w:r>
              <w:rPr>
                <w:rFonts w:ascii="Times New Roman" w:hAnsi="Times New Roman"/>
                <w:sz w:val="24"/>
              </w:rPr>
              <w:t>85, F79, G86, R66, L70, Q75, L293, A69, A83, G294, N82, Q352, C363, K72, Q67, N68, G290, P243, R242, G80, I170, P291, F289, N239, L78, V81, A295, A246</w:t>
            </w:r>
          </w:p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Tunnel</w:t>
            </w:r>
            <w:r>
              <w:rPr>
                <w:rFonts w:ascii="Times New Roman" w:hAnsi="Times New Roman"/>
                <w:sz w:val="24"/>
              </w:rPr>
              <w:t xml:space="preserve"> 2</w:t>
            </w:r>
          </w:p>
        </w:tc>
        <w:tc>
          <w:tcPr>
            <w:tcW w:w="7219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F17</w:t>
            </w:r>
            <w:r>
              <w:rPr>
                <w:rFonts w:ascii="Times New Roman" w:hAnsi="Times New Roman"/>
                <w:sz w:val="24"/>
              </w:rPr>
              <w:t>3, V74, L78, L293, F292, R73, L70, H180, L42, F79, L17, G174, S77, K76, L18, C363, P243, L315, H85, G294, R242, R184, A175, P71, V176, P291, I170, L15, S14, G290, F289, N239, W181, A246</w:t>
            </w:r>
          </w:p>
        </w:tc>
      </w:tr>
    </w:tbl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Table S2</w:t>
      </w:r>
      <w:r>
        <w:rPr>
          <w:rFonts w:ascii="Times New Roman" w:hAnsi="Times New Roman"/>
          <w:sz w:val="24"/>
        </w:rPr>
        <w:t xml:space="preserve"> The sequence of primers for P450</w:t>
      </w:r>
      <w:r>
        <w:rPr>
          <w:rFonts w:ascii="Times New Roman" w:hAnsi="Times New Roman"/>
          <w:sz w:val="24"/>
          <w:vertAlign w:val="subscript"/>
        </w:rPr>
        <w:t>Bsβ</w:t>
      </w:r>
      <w:r>
        <w:rPr>
          <w:rFonts w:ascii="Times New Roman" w:hAnsi="Times New Roman"/>
          <w:sz w:val="24"/>
        </w:rPr>
        <w:t>HI mutagenesis. Mutated codon is formatted in bold red text.</w:t>
      </w:r>
    </w:p>
    <w:p>
      <w:pPr>
        <w:rPr>
          <w:rFonts w:ascii="Times New Roman" w:hAnsi="Times New Roman"/>
          <w:sz w:val="24"/>
        </w:rPr>
      </w:pPr>
    </w:p>
    <w:tbl>
      <w:tblPr>
        <w:tblStyle w:val="6"/>
        <w:tblW w:w="9220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756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b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7560" w:type="dxa"/>
            <w:tcBorders>
              <w:top w:val="single" w:color="auto" w:sz="12" w:space="0"/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105" w:firstLineChars="50"/>
              <w:jc w:val="left"/>
              <w:rPr>
                <w:rFonts w:ascii="Times New Roman" w:hAnsi="Times New Roman" w:eastAsia="等线"/>
                <w:b/>
                <w:kern w:val="0"/>
                <w:szCs w:val="21"/>
              </w:rPr>
            </w:pPr>
            <w:r>
              <w:rPr>
                <w:rFonts w:ascii="Times New Roman" w:hAnsi="Times New Roman" w:eastAsia="等线"/>
                <w:b/>
                <w:kern w:val="0"/>
                <w:szCs w:val="21"/>
              </w:rPr>
              <w:t>5’→3’ sequence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BsβHI-F79G-F</w:t>
            </w:r>
          </w:p>
        </w:tc>
        <w:tc>
          <w:tcPr>
            <w:tcW w:w="7560" w:type="dxa"/>
            <w:tcBorders>
              <w:top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TCTCTG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GGT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GGTGTTAACGCGATTCATGGTATGGATGGTTC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BsβHI-F79G-R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CGCGTTAACACC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ACC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CAGAGATTTCTGAACGCGTTTCGGC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BsβHI-F79V-F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TCTCTG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GTT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GGTGTTAACGCGATTCATGGTATGGATGGTTC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BsβHI-F79V-R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CGCGTTAACACC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AAC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CAGAGATTTCTGAACGCGTTTCGGC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BsβHI-F79A-F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TCTCTG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GCA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GGTGTTAACGCGATTCATGGTATGGATGGTTC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BsβHI-F79A-R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CGCGTTAACACC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TGC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CAGAGATTTCTGAACGCGTTTCGGC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BsβHI-F79S-F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TCTCTG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TCA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GGTGTTAACGCGATTCATGGTATGGATGGTTC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BsβHI-F79S-R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CGCGTTAACACC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TGA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CAGAGATTTCTGAACGCGTTTCGGC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BsβHI-F79I-F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TCTCTG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ATT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GGTGTTAACGCGATTCATGGTATGGATGGTTC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BsβHI-F79I-R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CGCGTTAACACC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AAT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CAGAGATTTCTGAACGCGTTTCGGC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BsβHI-F79T-F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TCTCTG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ACC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GGTGTTAACGCGATTCATGGTATGGATGGTTC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BsβHI-F79T-R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CGCGTTAACACC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GGT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CAGAGATTTCTGAACGCGTTTCGGC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BsβHI-F79C-F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TCTCTG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TGT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GGTGTTAACGCGATTCATGGTATGGATGGTTC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BsβHI-F79C-R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CGCGTTAACACC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ACA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CAGAGATTTCTGAACGCGTTTCGGC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BsβHI-F79L-F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TCTCTG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TTA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GGTGTTAACGCGATTCATGGTATGGATGGTTC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BsβHI-F79L-R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CGCGTTAACACC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TAA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CAGAGATTTCTGAACGCGTTTCGGC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BsβHI-F79P-F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ind w:firstLine="105" w:firstLineChars="50"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>TCTCTG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CCG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GGTGTTAACGCGATTCATGGTATGGATGGTTC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BsβHI-F79P-R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ind w:firstLine="105" w:firstLineChars="50"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>CGCGTTAACACC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CGG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CAGAGATTTCTGAACGCGTTTCGGC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BsβHI-F173G-F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GATTGATGCA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GGT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GGTGCGGTGGGTCCGCGCCATTGGA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BsβHI-F173G-R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ACCGCACC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ACC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TGCATCAATCATATCAATGAAATCGTCAGCA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BsβHI-F173V-F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GATTGATGCA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GTT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GGTGCGGTGGGTCCGCGCCATTGGA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BsβHI-F173V-R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ACCGCACC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AAC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TGCATCAATCATATCAATGAAATCGTCAGCA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BsβHI-F173A-F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GATTGATGCA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GCA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GGTGCGGTGGGTCCGCGCCATTGGA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BsβHI-F173A-R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ACCGCACC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TGC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TGCATCAATCATATCAATGAAATCGTCAGCA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BsβHI-F173S-F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GATTGATGCA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TCA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GGTGCGGTGGGTCCGCGCCATTGGA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BsβHI-F173S-R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ACCGCACC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TGA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TGCATCAATCATATCAATGAAATCGTCAGCA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BsβHI-F173I-F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GATTGATGCA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ATT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GGTGCGGTGGGTCCGCGCCATTGGA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BsβHI-F173I-R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ACCGCACC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AAT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TGCATCAATCATATCAATGAAATCGTCAGCA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BsβHI-F173T-F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ind w:firstLine="105" w:firstLineChars="50"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>GATTGATGCA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ACC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GGTGCGGTGGGTCCGCGCCATTGGA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BsβHI-F173T-R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ind w:firstLine="105" w:firstLineChars="50"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>ACCGCACC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GGT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TGCATCAATCATATCAATGAAATCGTCAGCA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BsβHI-F173C-F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GATTGATGCA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TGT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GGTGCGGTGGGTCCGCGCCATTGGA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BsβHI-F173C-R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ACCGCACC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ACA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TGCATCAATCATATCAATGAAATCGTCAGCA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BsβHI-F173L-F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GATTGATGCA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TTA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GGTGCGGTGGGTCCGCGCCATTGGA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BsβHI-F173L-R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ACCGCACC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TAA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TGCATCAATCATATCAATGAAATCGTCAGCA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BsβHI-F173P-F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GATTGATGCA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CCG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GGTGCGGTGGGTCCGCGCCATTGGA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0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Cs w:val="21"/>
              </w:rPr>
              <w:t>BsβHI-F173P-R</w:t>
            </w:r>
          </w:p>
        </w:tc>
        <w:tc>
          <w:tcPr>
            <w:tcW w:w="7560" w:type="dxa"/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等线"/>
                <w:kern w:val="0"/>
                <w:szCs w:val="21"/>
              </w:rPr>
            </w:pPr>
            <w:r>
              <w:rPr>
                <w:rFonts w:ascii="Times New Roman" w:hAnsi="Times New Roman" w:eastAsia="等线"/>
                <w:kern w:val="0"/>
                <w:szCs w:val="21"/>
              </w:rPr>
              <w:t xml:space="preserve"> ACCGCACC</w:t>
            </w:r>
            <w:r>
              <w:rPr>
                <w:rFonts w:ascii="Times New Roman" w:hAnsi="Times New Roman" w:eastAsia="等线"/>
                <w:b/>
                <w:bCs/>
                <w:color w:val="FF0000"/>
                <w:kern w:val="0"/>
                <w:szCs w:val="21"/>
              </w:rPr>
              <w:t>CGG</w:t>
            </w:r>
            <w:r>
              <w:rPr>
                <w:rFonts w:ascii="Times New Roman" w:hAnsi="Times New Roman" w:eastAsia="等线"/>
                <w:kern w:val="0"/>
                <w:szCs w:val="21"/>
              </w:rPr>
              <w:t>TGCATCAATCATATCAATGAAATCGTCAGCA</w:t>
            </w:r>
          </w:p>
        </w:tc>
      </w:tr>
    </w:tbl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>
      <w:pPr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Table S3</w:t>
      </w:r>
      <w:r>
        <w:rPr>
          <w:rFonts w:ascii="Times New Roman" w:hAnsi="Times New Roman"/>
          <w:sz w:val="24"/>
        </w:rPr>
        <w:t xml:space="preserve"> The properties of identified access tunnels in P450</w:t>
      </w:r>
      <w:r>
        <w:rPr>
          <w:rFonts w:ascii="Times New Roman" w:hAnsi="Times New Roman"/>
          <w:sz w:val="24"/>
          <w:vertAlign w:val="subscript"/>
        </w:rPr>
        <w:t>Bsβ</w:t>
      </w:r>
      <w:r>
        <w:rPr>
          <w:rFonts w:ascii="Times New Roman" w:hAnsi="Times New Roman"/>
          <w:sz w:val="24"/>
        </w:rPr>
        <w:t xml:space="preserve">HI and its beneficial variants. The access tunnel analysis was carried out with MOLEonline serve (Pravda, L, 2018). The number suffixed by the variant name is the tunnel number. </w:t>
      </w:r>
    </w:p>
    <w:p>
      <w:pPr>
        <w:jc w:val="left"/>
        <w:rPr>
          <w:rFonts w:ascii="Times New Roman" w:hAnsi="Times New Roman"/>
          <w:sz w:val="24"/>
        </w:rPr>
      </w:pPr>
    </w:p>
    <w:tbl>
      <w:tblPr>
        <w:tblStyle w:val="6"/>
        <w:tblW w:w="69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194"/>
        <w:gridCol w:w="262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 w:val="22"/>
                <w:szCs w:val="22"/>
              </w:rPr>
              <w:t>Variants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 w:val="22"/>
                <w:szCs w:val="22"/>
              </w:rPr>
              <w:t xml:space="preserve">Tunnels 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 w:val="22"/>
                <w:szCs w:val="22"/>
              </w:rPr>
              <w:t>Length(Å)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 w:val="22"/>
                <w:szCs w:val="22"/>
              </w:rPr>
              <w:t>Radius in bottleneck (Å)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 w:val="22"/>
                <w:szCs w:val="22"/>
              </w:rPr>
              <w:t>Polarity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BsbHI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1.4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4.06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1.2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8.48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F79A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26.2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4.37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33.8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12.42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F79V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27.4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5.03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34.5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11.57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F79S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27.3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4.09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33.8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13.04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F79T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26.7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4.62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F173V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28.8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6.3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34.5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1.3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22"/>
                <w:szCs w:val="22"/>
              </w:rPr>
              <w:t>12.81</w:t>
            </w:r>
          </w:p>
        </w:tc>
      </w:tr>
    </w:tbl>
    <w:p>
      <w:pPr>
        <w:jc w:val="left"/>
        <w:rPr>
          <w:rFonts w:ascii="Times New Roman" w:hAnsi="Times New Roman"/>
          <w:sz w:val="24"/>
        </w:rPr>
      </w:pPr>
    </w:p>
    <w:p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inline distT="0" distB="0" distL="0" distR="0">
            <wp:extent cx="5760720" cy="3905885"/>
            <wp:effectExtent l="0" t="0" r="0" b="0"/>
            <wp:docPr id="5" name="Picture 5" descr="D:\B-LITERATURE\My Paper\Paper-Bsb\20201129 conversation analysis\Conversation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:\B-LITERATURE\My Paper\Paper-Bsb\20201129 conversation analysis\Conversation-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06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Figure S1: </w:t>
      </w:r>
      <w:r>
        <w:rPr>
          <w:rFonts w:ascii="Times New Roman" w:hAnsi="Times New Roman"/>
          <w:sz w:val="24"/>
        </w:rPr>
        <w:t>Conservation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analysis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of P450</w:t>
      </w:r>
      <w:r>
        <w:rPr>
          <w:rFonts w:ascii="Times New Roman" w:hAnsi="Times New Roman"/>
          <w:sz w:val="24"/>
          <w:vertAlign w:val="subscript"/>
        </w:rPr>
        <w:t>Bsβ</w:t>
      </w:r>
      <w:r>
        <w:rPr>
          <w:rFonts w:ascii="Times New Roman" w:hAnsi="Times New Roman"/>
          <w:sz w:val="24"/>
        </w:rPr>
        <w:t xml:space="preserve">HI. The residues of phenylalanine 79 and phenylalanine 179 were marked by green circle. </w:t>
      </w:r>
      <w:r>
        <w:rPr>
          <w:rFonts w:hint="eastAsia" w:ascii="Times New Roman" w:hAnsi="Times New Roman"/>
          <w:sz w:val="24"/>
        </w:rPr>
        <w:t>The</w:t>
      </w:r>
      <w:r>
        <w:rPr>
          <w:rFonts w:ascii="Times New Roman" w:hAnsi="Times New Roman"/>
          <w:sz w:val="24"/>
        </w:rPr>
        <w:t xml:space="preserve"> conservation analysis was performed using Consurf online serve (Ashkenazy</w:t>
      </w:r>
      <w:r>
        <w:rPr>
          <w:rFonts w:hint="eastAsia" w:ascii="Times New Roman" w:hAnsi="Times New Roman"/>
          <w:sz w:val="24"/>
          <w:lang w:val="en-US" w:eastAsia="zh-CN"/>
        </w:rPr>
        <w:t xml:space="preserve"> et al.</w:t>
      </w:r>
      <w:r>
        <w:rPr>
          <w:rFonts w:ascii="Times New Roman" w:hAnsi="Times New Roman"/>
          <w:sz w:val="24"/>
        </w:rPr>
        <w:t>, 2016</w:t>
      </w:r>
      <w:r>
        <w:rPr>
          <w:rFonts w:ascii="Times New Roman" w:hAnsi="Times New Roman"/>
          <w:sz w:val="24"/>
        </w:rPr>
        <w:t>). Multiple sequence alignment was built using MAFFT; The homologues were collected from UNIREF90; The homolog search algorithm is HMMER; HMMER E-value is 0.0001. The calculation is performed on P450</w:t>
      </w:r>
      <w:r>
        <w:rPr>
          <w:rFonts w:ascii="Times New Roman" w:hAnsi="Times New Roman"/>
          <w:sz w:val="24"/>
          <w:vertAlign w:val="subscript"/>
        </w:rPr>
        <w:t>Bsβ</w:t>
      </w:r>
      <w:r>
        <w:rPr>
          <w:rFonts w:ascii="Times New Roman" w:hAnsi="Times New Roman"/>
          <w:sz w:val="24"/>
        </w:rPr>
        <w:t>HI of 150 sequences that represent the list of homologues to the query.</w:t>
      </w: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inline distT="0" distB="0" distL="0" distR="0">
            <wp:extent cx="5760720" cy="2975610"/>
            <wp:effectExtent l="0" t="0" r="0" b="0"/>
            <wp:docPr id="8" name="Picture 8" descr="D:\B-LITERATURE\My Paper\Paper-Bsb\20200917 computatinal data-2\Fold 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:\B-LITERATURE\My Paper\Paper-Bsb\20200917 computatinal data-2\Fold X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7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Figure S2</w:t>
      </w:r>
      <w:r>
        <w:rPr>
          <w:rFonts w:ascii="Times New Roman" w:hAnsi="Times New Roman"/>
          <w:sz w:val="24"/>
        </w:rPr>
        <w:t xml:space="preserve"> The relative folding free energies (ΔΔG</w:t>
      </w:r>
      <w:r>
        <w:rPr>
          <w:rFonts w:ascii="Times New Roman" w:hAnsi="Times New Roman"/>
          <w:sz w:val="24"/>
          <w:vertAlign w:val="subscript"/>
        </w:rPr>
        <w:t>fold</w:t>
      </w:r>
      <w:r>
        <w:rPr>
          <w:rFonts w:ascii="Times New Roman" w:hAnsi="Times New Roman"/>
          <w:sz w:val="24"/>
        </w:rPr>
        <w:t>=ΔG</w:t>
      </w:r>
      <w:r>
        <w:rPr>
          <w:rFonts w:ascii="Times New Roman" w:hAnsi="Times New Roman"/>
          <w:sz w:val="24"/>
          <w:vertAlign w:val="subscript"/>
        </w:rPr>
        <w:t>fold</w:t>
      </w:r>
      <w:r>
        <w:rPr>
          <w:rFonts w:ascii="Times New Roman" w:hAnsi="Times New Roman"/>
          <w:sz w:val="24"/>
        </w:rPr>
        <w:t>,variants−ΔG</w:t>
      </w:r>
      <w:r>
        <w:rPr>
          <w:rFonts w:ascii="Times New Roman" w:hAnsi="Times New Roman"/>
          <w:sz w:val="24"/>
          <w:vertAlign w:val="subscript"/>
        </w:rPr>
        <w:t>fold</w:t>
      </w:r>
      <w:r>
        <w:rPr>
          <w:rFonts w:ascii="Times New Roman" w:hAnsi="Times New Roman"/>
          <w:sz w:val="24"/>
        </w:rPr>
        <w:t>,wild-type) values of 18 substitutions at two amino acid positions of the P450</w:t>
      </w:r>
      <w:r>
        <w:rPr>
          <w:rFonts w:ascii="Times New Roman" w:hAnsi="Times New Roman"/>
          <w:sz w:val="24"/>
          <w:vertAlign w:val="subscript"/>
        </w:rPr>
        <w:t>Bsβ</w:t>
      </w:r>
      <w:r>
        <w:rPr>
          <w:rFonts w:ascii="Times New Roman" w:hAnsi="Times New Roman"/>
          <w:sz w:val="24"/>
        </w:rPr>
        <w:t xml:space="preserve">HI. </w:t>
      </w: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ΔΔG</w:t>
      </w:r>
      <w:r>
        <w:rPr>
          <w:rFonts w:ascii="Times New Roman" w:hAnsi="Times New Roman"/>
          <w:sz w:val="24"/>
          <w:vertAlign w:val="subscript"/>
        </w:rPr>
        <w:t>fold</w:t>
      </w:r>
      <w:r>
        <w:rPr>
          <w:rFonts w:ascii="Times New Roman" w:hAnsi="Times New Roman"/>
          <w:sz w:val="24"/>
        </w:rPr>
        <w:t xml:space="preserve"> values were calculated using FoldX employing the YASARA plugin (version 19.12.4). The initial structure of P450</w:t>
      </w:r>
      <w:r>
        <w:rPr>
          <w:rFonts w:ascii="Times New Roman" w:hAnsi="Times New Roman"/>
          <w:sz w:val="24"/>
          <w:vertAlign w:val="subscript"/>
        </w:rPr>
        <w:t>Bsβ</w:t>
      </w:r>
      <w:r>
        <w:rPr>
          <w:rFonts w:ascii="Times New Roman" w:hAnsi="Times New Roman"/>
          <w:sz w:val="24"/>
        </w:rPr>
        <w:t>HI was constructed by the Automated Modeling Tool of Swiss Model Web Service (http://swissmodel.expasy.org/) using the crystal structure of P450</w:t>
      </w:r>
      <w:r>
        <w:rPr>
          <w:rFonts w:ascii="Times New Roman" w:hAnsi="Times New Roman"/>
          <w:sz w:val="24"/>
          <w:vertAlign w:val="subscript"/>
        </w:rPr>
        <w:t>Bsβ</w:t>
      </w:r>
      <w:r>
        <w:rPr>
          <w:rFonts w:ascii="Times New Roman" w:hAnsi="Times New Roman"/>
          <w:sz w:val="24"/>
        </w:rPr>
        <w:t xml:space="preserve"> from</w:t>
      </w:r>
      <w:r>
        <w:rPr>
          <w:rFonts w:ascii="Times New Roman" w:hAnsi="Times New Roman"/>
          <w:i/>
          <w:iCs/>
          <w:sz w:val="24"/>
        </w:rPr>
        <w:t xml:space="preserve"> Bacillus subtilis </w:t>
      </w:r>
      <w:r>
        <w:rPr>
          <w:rFonts w:ascii="Times New Roman" w:hAnsi="Times New Roman"/>
          <w:sz w:val="24"/>
        </w:rPr>
        <w:t xml:space="preserve">(PDB code: 1IZO with the resolution in 2.10 Å) as template. FoldX parameters was temperature 298 K, pH 7, and 0.05 M ionic strength. </w:t>
      </w: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Based CompassR rule developed by Cui et.al., the substitutions were divided three categories: Active (ΔΔG</w:t>
      </w:r>
      <w:r>
        <w:rPr>
          <w:rFonts w:ascii="Times New Roman" w:hAnsi="Times New Roman"/>
          <w:sz w:val="24"/>
          <w:vertAlign w:val="subscript"/>
        </w:rPr>
        <w:t>fold</w:t>
      </w:r>
      <w:r>
        <w:rPr>
          <w:rFonts w:hint="eastAsia" w:ascii="Times New Roman" w:hAnsi="Times New Roman"/>
          <w:sz w:val="24"/>
        </w:rPr>
        <w:t>≤</w:t>
      </w:r>
      <w:r>
        <w:rPr>
          <w:rFonts w:ascii="Times New Roman" w:hAnsi="Times New Roman"/>
          <w:sz w:val="24"/>
        </w:rPr>
        <w:t>+0.36 kcal mol</w:t>
      </w:r>
      <w:r>
        <w:rPr>
          <w:rFonts w:ascii="Times New Roman" w:hAnsi="Times New Roman"/>
          <w:sz w:val="24"/>
          <w:vertAlign w:val="superscript"/>
        </w:rPr>
        <w:t>−1</w:t>
      </w:r>
      <w:r>
        <w:rPr>
          <w:rFonts w:ascii="Times New Roman" w:hAnsi="Times New Roman"/>
          <w:sz w:val="24"/>
        </w:rPr>
        <w:t>), Unpredictable (+0.36 kcal mol</w:t>
      </w:r>
      <w:r>
        <w:rPr>
          <w:rFonts w:ascii="Times New Roman" w:hAnsi="Times New Roman"/>
          <w:sz w:val="24"/>
          <w:vertAlign w:val="superscript"/>
        </w:rPr>
        <w:t>−1</w:t>
      </w:r>
      <w:r>
        <w:rPr>
          <w:rFonts w:hint="eastAsia" w:ascii="Times New Roman" w:hAnsi="Times New Roman"/>
          <w:sz w:val="24"/>
        </w:rPr>
        <w:t>≤</w:t>
      </w:r>
      <w:r>
        <w:rPr>
          <w:rFonts w:ascii="Times New Roman" w:hAnsi="Times New Roman"/>
          <w:sz w:val="24"/>
        </w:rPr>
        <w:t>ΔΔG</w:t>
      </w:r>
      <w:r>
        <w:rPr>
          <w:rFonts w:ascii="Times New Roman" w:hAnsi="Times New Roman"/>
          <w:sz w:val="24"/>
          <w:vertAlign w:val="subscript"/>
        </w:rPr>
        <w:t>fold</w:t>
      </w:r>
      <w:r>
        <w:rPr>
          <w:rFonts w:hint="eastAsia" w:ascii="Times New Roman" w:hAnsi="Times New Roman"/>
          <w:sz w:val="24"/>
        </w:rPr>
        <w:t>≤</w:t>
      </w:r>
      <w:r>
        <w:rPr>
          <w:rFonts w:ascii="Times New Roman" w:hAnsi="Times New Roman"/>
          <w:sz w:val="24"/>
        </w:rPr>
        <w:t>+7.52 kcal mol</w:t>
      </w:r>
      <w:r>
        <w:rPr>
          <w:rFonts w:ascii="Times New Roman" w:hAnsi="Times New Roman"/>
          <w:sz w:val="24"/>
          <w:vertAlign w:val="superscript"/>
        </w:rPr>
        <w:t>−1</w:t>
      </w:r>
      <w:r>
        <w:rPr>
          <w:rFonts w:ascii="Times New Roman" w:hAnsi="Times New Roman"/>
          <w:sz w:val="24"/>
        </w:rPr>
        <w:t>), and Inactivated (ΔΔG</w:t>
      </w:r>
      <w:r>
        <w:rPr>
          <w:rFonts w:ascii="Times New Roman" w:hAnsi="Times New Roman"/>
          <w:sz w:val="24"/>
          <w:vertAlign w:val="subscript"/>
        </w:rPr>
        <w:t>fold</w:t>
      </w:r>
      <w:r>
        <w:rPr>
          <w:rFonts w:hint="eastAsia" w:ascii="Times New Roman" w:hAnsi="Times New Roman"/>
          <w:sz w:val="24"/>
        </w:rPr>
        <w:t>≥</w:t>
      </w:r>
      <w:r>
        <w:rPr>
          <w:rFonts w:ascii="Times New Roman" w:hAnsi="Times New Roman"/>
          <w:sz w:val="24"/>
        </w:rPr>
        <w:t>+</w:t>
      </w:r>
      <w:r>
        <w:rPr>
          <w:rFonts w:hint="eastAsia" w:ascii="Times New Roman" w:hAnsi="Times New Roman"/>
          <w:sz w:val="24"/>
        </w:rPr>
        <w:t>7.52</w:t>
      </w:r>
      <w:r>
        <w:rPr>
          <w:rFonts w:ascii="Times New Roman" w:hAnsi="Times New Roman"/>
          <w:sz w:val="24"/>
        </w:rPr>
        <w:t> kcal mol</w:t>
      </w:r>
      <w:r>
        <w:rPr>
          <w:rFonts w:ascii="Times New Roman" w:hAnsi="Times New Roman"/>
          <w:sz w:val="24"/>
          <w:vertAlign w:val="superscript"/>
        </w:rPr>
        <w:t>−1</w:t>
      </w:r>
      <w:r>
        <w:rPr>
          <w:rFonts w:ascii="Times New Roman" w:hAnsi="Times New Roman"/>
          <w:sz w:val="24"/>
        </w:rPr>
        <w:t xml:space="preserve">) [1]. There is no unstable substitution was found among all of the variants. </w:t>
      </w: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jc w:val="center"/>
        <w:rPr>
          <w:rFonts w:ascii="Times New Roman" w:hAnsi="Times New Roman"/>
          <w:sz w:val="24"/>
        </w:rPr>
      </w:pPr>
      <w:r>
        <w:object>
          <v:shape id="_x0000_i1025" o:spt="75" type="#_x0000_t75" style="height:258.1pt;width:338.2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Origin95.Graph" ShapeID="_x0000_i1025" DrawAspect="Content" ObjectID="_1468075725" r:id="rId6">
            <o:LockedField>false</o:LockedField>
          </o:OLEObject>
        </w:object>
      </w: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Figure S3</w:t>
      </w:r>
      <w:r>
        <w:rPr>
          <w:rFonts w:ascii="Times New Roman" w:hAnsi="Times New Roman"/>
          <w:sz w:val="24"/>
        </w:rPr>
        <w:t xml:space="preserve"> The Root-mean-square deviation (RMSD) of CA atoms of P450</w:t>
      </w:r>
      <w:r>
        <w:rPr>
          <w:rFonts w:ascii="Times New Roman" w:hAnsi="Times New Roman"/>
          <w:sz w:val="24"/>
          <w:vertAlign w:val="subscript"/>
        </w:rPr>
        <w:t>Bsβ</w:t>
      </w:r>
      <w:r>
        <w:rPr>
          <w:rFonts w:ascii="Times New Roman" w:hAnsi="Times New Roman"/>
          <w:sz w:val="24"/>
        </w:rPr>
        <w:t>HI versus the starting structure.</w:t>
      </w: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 </w:t>
      </w: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rPr>
          <w:rFonts w:ascii="Times New Roman" w:hAnsi="Times New Roman"/>
          <w:sz w:val="24"/>
        </w:rPr>
      </w:pPr>
    </w:p>
    <w:p>
      <w:pPr>
        <w:widowControl/>
        <w:jc w:val="left"/>
        <w:rPr>
          <w:sz w:val="28"/>
          <w:szCs w:val="28"/>
        </w:rPr>
      </w:pPr>
      <w:r>
        <w:rPr>
          <w:rFonts w:ascii="Times New Roman" w:hAnsi="Times New Roman" w:eastAsia="仿宋"/>
          <w:b/>
          <w:sz w:val="28"/>
          <w:szCs w:val="28"/>
        </w:rPr>
        <w:t>Reference:</w:t>
      </w:r>
      <w:r>
        <w:rPr>
          <w:sz w:val="28"/>
          <w:szCs w:val="28"/>
        </w:rPr>
        <w:t xml:space="preserve"> </w:t>
      </w:r>
    </w:p>
    <w:p>
      <w:pPr>
        <w:pStyle w:val="14"/>
        <w:ind w:left="720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Pravda, L., Sehnal, D., Tousek, D., Navratilova, V., Bazgier, V., Berka, K., et al. (2018). MOLEonline: a web-based tool for analyzing channels, tunnels and pores (2018 update). Nucleic Acids Res, 46(W1), W368-W373.</w:t>
      </w:r>
    </w:p>
    <w:p>
      <w:pPr>
        <w:pStyle w:val="14"/>
        <w:ind w:left="720" w:hanging="7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Ashkenazy, H., Abadi, S., Martz, E., Chay, O., Mayrose, I., Pupko, T., &amp; Ben-Tal, N. (2016). ConSurf 2016: an improved methodology to estimate and visualize evolutionary conservation in macromolecules. Nucleic Acids Res</w:t>
      </w:r>
      <w:bookmarkStart w:id="1" w:name="_GoBack"/>
      <w:bookmarkEnd w:id="1"/>
      <w:r>
        <w:rPr>
          <w:rFonts w:hint="eastAsia" w:ascii="Times New Roman" w:hAnsi="Times New Roman" w:cs="Times New Roman"/>
        </w:rPr>
        <w:t>, 44(W1), W344-W350.</w:t>
      </w:r>
    </w:p>
    <w:sectPr>
      <w:pgSz w:w="11906" w:h="16838"/>
      <w:pgMar w:top="1417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56E"/>
    <w:rsid w:val="00021DC5"/>
    <w:rsid w:val="00035E5F"/>
    <w:rsid w:val="0005009E"/>
    <w:rsid w:val="00081EEB"/>
    <w:rsid w:val="000825A5"/>
    <w:rsid w:val="00094E11"/>
    <w:rsid w:val="000A1E91"/>
    <w:rsid w:val="000E271F"/>
    <w:rsid w:val="000E79EE"/>
    <w:rsid w:val="000F429B"/>
    <w:rsid w:val="00163DC9"/>
    <w:rsid w:val="00176F8E"/>
    <w:rsid w:val="00192A2C"/>
    <w:rsid w:val="001D2659"/>
    <w:rsid w:val="001D2B2E"/>
    <w:rsid w:val="001D3F3E"/>
    <w:rsid w:val="00277695"/>
    <w:rsid w:val="00297BD6"/>
    <w:rsid w:val="002A4707"/>
    <w:rsid w:val="00300E72"/>
    <w:rsid w:val="0033070B"/>
    <w:rsid w:val="0033094E"/>
    <w:rsid w:val="003879F0"/>
    <w:rsid w:val="00412B5A"/>
    <w:rsid w:val="0042318B"/>
    <w:rsid w:val="00425615"/>
    <w:rsid w:val="00453C48"/>
    <w:rsid w:val="004640CD"/>
    <w:rsid w:val="004668CF"/>
    <w:rsid w:val="004C5B67"/>
    <w:rsid w:val="00521662"/>
    <w:rsid w:val="00550306"/>
    <w:rsid w:val="00551B9C"/>
    <w:rsid w:val="00572085"/>
    <w:rsid w:val="00595847"/>
    <w:rsid w:val="005B1844"/>
    <w:rsid w:val="005B43C6"/>
    <w:rsid w:val="005B74F9"/>
    <w:rsid w:val="005E529A"/>
    <w:rsid w:val="005F42D7"/>
    <w:rsid w:val="005F662A"/>
    <w:rsid w:val="00610082"/>
    <w:rsid w:val="00631049"/>
    <w:rsid w:val="00661B56"/>
    <w:rsid w:val="006F706E"/>
    <w:rsid w:val="00701D70"/>
    <w:rsid w:val="00707E19"/>
    <w:rsid w:val="00736307"/>
    <w:rsid w:val="00740115"/>
    <w:rsid w:val="00742C51"/>
    <w:rsid w:val="00744619"/>
    <w:rsid w:val="007A5211"/>
    <w:rsid w:val="007B2E3E"/>
    <w:rsid w:val="007C205F"/>
    <w:rsid w:val="007C590A"/>
    <w:rsid w:val="00806BEF"/>
    <w:rsid w:val="00841E10"/>
    <w:rsid w:val="00882BF6"/>
    <w:rsid w:val="008C0C5C"/>
    <w:rsid w:val="008C5D80"/>
    <w:rsid w:val="008D45E7"/>
    <w:rsid w:val="008F4DED"/>
    <w:rsid w:val="009041F3"/>
    <w:rsid w:val="009140C3"/>
    <w:rsid w:val="00940391"/>
    <w:rsid w:val="0098697F"/>
    <w:rsid w:val="009947B0"/>
    <w:rsid w:val="009B01DB"/>
    <w:rsid w:val="009B1C2C"/>
    <w:rsid w:val="009C0933"/>
    <w:rsid w:val="009E4B53"/>
    <w:rsid w:val="00A57A67"/>
    <w:rsid w:val="00A60524"/>
    <w:rsid w:val="00A742BB"/>
    <w:rsid w:val="00A803B0"/>
    <w:rsid w:val="00A97ED8"/>
    <w:rsid w:val="00AA3A17"/>
    <w:rsid w:val="00AC0B45"/>
    <w:rsid w:val="00AF201A"/>
    <w:rsid w:val="00B45D84"/>
    <w:rsid w:val="00B47CB1"/>
    <w:rsid w:val="00B54DA9"/>
    <w:rsid w:val="00B61961"/>
    <w:rsid w:val="00B75D80"/>
    <w:rsid w:val="00BC1DD2"/>
    <w:rsid w:val="00BC3F88"/>
    <w:rsid w:val="00C07330"/>
    <w:rsid w:val="00C1031A"/>
    <w:rsid w:val="00C236E7"/>
    <w:rsid w:val="00C30688"/>
    <w:rsid w:val="00C63017"/>
    <w:rsid w:val="00C66826"/>
    <w:rsid w:val="00C80828"/>
    <w:rsid w:val="00C81AA9"/>
    <w:rsid w:val="00C92C7B"/>
    <w:rsid w:val="00C93A7C"/>
    <w:rsid w:val="00C94D7C"/>
    <w:rsid w:val="00CC3505"/>
    <w:rsid w:val="00CF056E"/>
    <w:rsid w:val="00D07218"/>
    <w:rsid w:val="00D20675"/>
    <w:rsid w:val="00D30539"/>
    <w:rsid w:val="00D65F2C"/>
    <w:rsid w:val="00D813A8"/>
    <w:rsid w:val="00D9564E"/>
    <w:rsid w:val="00DC63DC"/>
    <w:rsid w:val="00E15AF6"/>
    <w:rsid w:val="00E24275"/>
    <w:rsid w:val="00E51859"/>
    <w:rsid w:val="00E779E9"/>
    <w:rsid w:val="00E9756D"/>
    <w:rsid w:val="00EA2D15"/>
    <w:rsid w:val="00EB6500"/>
    <w:rsid w:val="00F04BEF"/>
    <w:rsid w:val="00F06243"/>
    <w:rsid w:val="00F41C77"/>
    <w:rsid w:val="00F64833"/>
    <w:rsid w:val="00FB2437"/>
    <w:rsid w:val="00FC40EF"/>
    <w:rsid w:val="00FF2B7A"/>
    <w:rsid w:val="0B7767AC"/>
    <w:rsid w:val="541237BE"/>
    <w:rsid w:val="60F45913"/>
    <w:rsid w:val="65A75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iPriority w:val="0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uiPriority w:val="0"/>
    <w:rPr>
      <w:sz w:val="21"/>
      <w:szCs w:val="21"/>
    </w:rPr>
  </w:style>
  <w:style w:type="character" w:customStyle="1" w:styleId="10">
    <w:name w:val="Header Char"/>
    <w:basedOn w:val="8"/>
    <w:link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Footer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Balloon Text Char"/>
    <w:basedOn w:val="8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Comment Text Char"/>
    <w:basedOn w:val="8"/>
    <w:link w:val="2"/>
    <w:uiPriority w:val="0"/>
    <w:rPr>
      <w:rFonts w:ascii="Calibri" w:hAnsi="Calibri" w:eastAsia="宋体" w:cs="Times New Roman"/>
      <w:szCs w:val="24"/>
    </w:rPr>
  </w:style>
  <w:style w:type="paragraph" w:customStyle="1" w:styleId="14">
    <w:name w:val="EndNote Bibliography"/>
    <w:basedOn w:val="1"/>
    <w:link w:val="15"/>
    <w:uiPriority w:val="0"/>
    <w:rPr>
      <w:rFonts w:cs="Calibri"/>
      <w:sz w:val="20"/>
    </w:rPr>
  </w:style>
  <w:style w:type="character" w:customStyle="1" w:styleId="15">
    <w:name w:val="EndNote Bibliography Char"/>
    <w:link w:val="14"/>
    <w:uiPriority w:val="0"/>
    <w:rPr>
      <w:rFonts w:ascii="Calibri" w:hAnsi="Calibri" w:eastAsia="宋体" w:cs="Calibri"/>
      <w:sz w:val="20"/>
      <w:szCs w:val="24"/>
    </w:rPr>
  </w:style>
  <w:style w:type="paragraph" w:customStyle="1" w:styleId="16">
    <w:name w:val="Default"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Calibri"/>
      <w:color w:val="000000"/>
      <w:kern w:val="0"/>
      <w:sz w:val="24"/>
      <w:szCs w:val="24"/>
      <w:lang w:val="en-US" w:eastAsia="zh-CN" w:bidi="ar-SA"/>
    </w:rPr>
  </w:style>
  <w:style w:type="paragraph" w:customStyle="1" w:styleId="17">
    <w:name w:val="Revision"/>
    <w:hidden/>
    <w:semiHidden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127F85-A42D-4F02-9E34-E8025C1399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1032</Words>
  <Characters>5884</Characters>
  <Lines>49</Lines>
  <Paragraphs>13</Paragraphs>
  <TotalTime>2</TotalTime>
  <ScaleCrop>false</ScaleCrop>
  <LinksUpToDate>false</LinksUpToDate>
  <CharactersWithSpaces>6903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2020-07-30T09:35:00Z</dcterms:created>
  <dc:creator>Shuaiqi Meng</dc:creator>
  <cp:lastModifiedBy>孟帅奇</cp:lastModifiedBy>
  <dcterms:modified xsi:type="dcterms:W3CDTF">2020-12-11T22:24:35Z</dcterms:modified>
  <cp:revision>211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