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F07220" w14:textId="49C78F85" w:rsidR="007F121D" w:rsidRDefault="007F121D" w:rsidP="007F121D">
      <w:pPr>
        <w:spacing w:line="480" w:lineRule="auto"/>
        <w:rPr>
          <w:rFonts w:ascii="Times New Roman" w:eastAsia="Times New Roman" w:hAnsi="Times New Roman" w:cs="Times New Roman"/>
          <w:b/>
        </w:rPr>
      </w:pPr>
      <w:r>
        <w:rPr>
          <w:noProof/>
        </w:rPr>
        <w:drawing>
          <wp:inline distT="0" distB="0" distL="0" distR="0" wp14:anchorId="6A3CCB26" wp14:editId="7D740F28">
            <wp:extent cx="5274310" cy="2202971"/>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202971"/>
                    </a:xfrm>
                    <a:prstGeom prst="rect">
                      <a:avLst/>
                    </a:prstGeom>
                    <a:noFill/>
                    <a:ln>
                      <a:noFill/>
                    </a:ln>
                  </pic:spPr>
                </pic:pic>
              </a:graphicData>
            </a:graphic>
          </wp:inline>
        </w:drawing>
      </w:r>
    </w:p>
    <w:p w14:paraId="78DC2931" w14:textId="3C09E058" w:rsidR="007F121D" w:rsidRDefault="007F121D" w:rsidP="007F121D">
      <w:pPr>
        <w:spacing w:line="480" w:lineRule="auto"/>
        <w:rPr>
          <w:rFonts w:ascii="Times New Roman" w:eastAsia="Times New Roman" w:hAnsi="Times New Roman" w:cs="Times New Roman"/>
          <w:b/>
        </w:rPr>
      </w:pPr>
      <w:r>
        <w:rPr>
          <w:rFonts w:ascii="Times New Roman" w:eastAsia="Times New Roman" w:hAnsi="Times New Roman" w:cs="Times New Roman"/>
          <w:b/>
        </w:rPr>
        <w:t>Supplemental Figure 1. Computed tomography (CT) and digital subtraction angiography (DSA) images of a 57-year-old man with intermediate hepatocellular carcinoma (HCC) progressing to advanced stage, who received sorafenib plus one session of on-demand drug-eluting bead transarterial chemoembolization (DEB-TACE).</w:t>
      </w:r>
    </w:p>
    <w:p w14:paraId="31252673" w14:textId="77777777" w:rsidR="007F121D" w:rsidRDefault="007F121D" w:rsidP="007F121D">
      <w:pPr>
        <w:spacing w:after="120" w:line="480" w:lineRule="auto"/>
        <w:rPr>
          <w:rFonts w:ascii="Times New Roman" w:eastAsia="Times New Roman" w:hAnsi="Times New Roman" w:cs="Times New Roman"/>
        </w:rPr>
      </w:pPr>
      <w:r>
        <w:rPr>
          <w:rFonts w:ascii="Times New Roman" w:eastAsia="Times New Roman" w:hAnsi="Times New Roman" w:cs="Times New Roman"/>
        </w:rPr>
        <w:t>The red arrows indicate the main tumor in the CT images. The green arrows indicate the portal vein in the CT images. The yellow arrows indicate the main tumor in the DSA images. (A, B) Cross-sectional CT scans of the initial intermediate tumor, illustrating that the main tumor is in the left lobe of the liver. A patent portal vein vascular perfusion is marked by a green arrow. (C, D) Cross-sectional CT scans showing the local tumor response after one session of cTACE and a new portal vein tumor thrombus (PVTT). Sorafenib was subsequently administered. (E, F) DSA images showing the right arterial blood supply of the main tumor in the right lobe of the liver before and after DEB-TACE. (G, H) Cross-sectional and coronal-sectional CT scans performed at 3 months after the administration of sorafenib plus DEB-TACE, illustrating the necrosis of the main tumor and the shrinkage of the PVTT.</w:t>
      </w:r>
    </w:p>
    <w:p w14:paraId="23496738" w14:textId="77777777" w:rsidR="007F121D" w:rsidRDefault="007F121D">
      <w:pPr>
        <w:widowControl/>
        <w:jc w:val="left"/>
        <w:rPr>
          <w:rFonts w:ascii="Times New Roman" w:eastAsia="Times New Roman" w:hAnsi="Times New Roman" w:cs="Times New Roman"/>
          <w:b/>
        </w:rPr>
      </w:pPr>
      <w:r>
        <w:rPr>
          <w:rFonts w:ascii="Times New Roman" w:eastAsia="Times New Roman" w:hAnsi="Times New Roman" w:cs="Times New Roman"/>
          <w:b/>
        </w:rPr>
        <w:br w:type="page"/>
      </w:r>
    </w:p>
    <w:p w14:paraId="56F16A27" w14:textId="0F51E8BF" w:rsidR="007F121D" w:rsidRDefault="007F121D" w:rsidP="007F121D">
      <w:pPr>
        <w:spacing w:line="480" w:lineRule="auto"/>
        <w:rPr>
          <w:rFonts w:ascii="Times New Roman" w:eastAsia="Times New Roman" w:hAnsi="Times New Roman" w:cs="Times New Roman"/>
          <w:b/>
        </w:rPr>
      </w:pPr>
      <w:r>
        <w:rPr>
          <w:noProof/>
        </w:rPr>
        <w:lastRenderedPageBreak/>
        <w:drawing>
          <wp:inline distT="0" distB="0" distL="0" distR="0" wp14:anchorId="73871C98" wp14:editId="5C2C1B56">
            <wp:extent cx="5274310" cy="4029227"/>
            <wp:effectExtent l="0" t="0" r="254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029227"/>
                    </a:xfrm>
                    <a:prstGeom prst="rect">
                      <a:avLst/>
                    </a:prstGeom>
                    <a:noFill/>
                    <a:ln>
                      <a:noFill/>
                    </a:ln>
                  </pic:spPr>
                </pic:pic>
              </a:graphicData>
            </a:graphic>
          </wp:inline>
        </w:drawing>
      </w:r>
    </w:p>
    <w:p w14:paraId="7940E81C" w14:textId="5209A450" w:rsidR="007F121D" w:rsidRDefault="007F121D" w:rsidP="007F121D">
      <w:pPr>
        <w:spacing w:line="480" w:lineRule="auto"/>
        <w:rPr>
          <w:rFonts w:ascii="Times New Roman" w:eastAsia="Times New Roman" w:hAnsi="Times New Roman" w:cs="Times New Roman"/>
          <w:b/>
        </w:rPr>
      </w:pPr>
      <w:r>
        <w:rPr>
          <w:rFonts w:ascii="Times New Roman" w:eastAsia="Times New Roman" w:hAnsi="Times New Roman" w:cs="Times New Roman"/>
          <w:b/>
        </w:rPr>
        <w:t>Supplemental Figure 2. Comparison of changes in albumin-bilirubin (ALBI) score within 7 days after transarterial chemoembolization (TACE) in the DTS and S groups.</w:t>
      </w:r>
    </w:p>
    <w:p w14:paraId="4A156E4F" w14:textId="77777777" w:rsidR="007F121D" w:rsidRDefault="007F121D" w:rsidP="007F121D">
      <w:pPr>
        <w:spacing w:after="120" w:line="480" w:lineRule="auto"/>
        <w:rPr>
          <w:rFonts w:ascii="Times New Roman" w:eastAsia="Times New Roman" w:hAnsi="Times New Roman" w:cs="Times New Roman"/>
        </w:rPr>
      </w:pPr>
      <w:r>
        <w:rPr>
          <w:rFonts w:ascii="Times New Roman" w:eastAsia="Times New Roman" w:hAnsi="Times New Roman" w:cs="Times New Roman"/>
        </w:rPr>
        <w:t>DTS group: patients treated with drug-eluting bead transarterial chemoembolization plus sorafenib; S group, patients treated with sorafenib monotherapy; SD, standard deviation; d., days.</w:t>
      </w:r>
    </w:p>
    <w:p w14:paraId="58F973F2" w14:textId="77777777" w:rsidR="007F121D" w:rsidRDefault="007F121D">
      <w:pPr>
        <w:widowControl/>
        <w:jc w:val="left"/>
        <w:rPr>
          <w:rFonts w:ascii="Times New Roman" w:eastAsia="Times New Roman" w:hAnsi="Times New Roman" w:cs="Times New Roman"/>
          <w:b/>
        </w:rPr>
      </w:pPr>
      <w:r>
        <w:rPr>
          <w:rFonts w:ascii="Times New Roman" w:eastAsia="Times New Roman" w:hAnsi="Times New Roman" w:cs="Times New Roman"/>
          <w:b/>
        </w:rPr>
        <w:br w:type="page"/>
      </w:r>
    </w:p>
    <w:p w14:paraId="1C16CF00" w14:textId="36AEA511" w:rsidR="007F121D" w:rsidRDefault="007F121D" w:rsidP="007F121D">
      <w:pPr>
        <w:spacing w:after="120" w:line="480" w:lineRule="auto"/>
        <w:rPr>
          <w:rFonts w:ascii="Times New Roman" w:eastAsia="Times New Roman" w:hAnsi="Times New Roman" w:cs="Times New Roman"/>
          <w:b/>
        </w:rPr>
      </w:pPr>
      <w:r>
        <w:rPr>
          <w:noProof/>
        </w:rPr>
        <w:lastRenderedPageBreak/>
        <w:drawing>
          <wp:inline distT="0" distB="0" distL="0" distR="0" wp14:anchorId="096915B8" wp14:editId="32309EDD">
            <wp:extent cx="5274310" cy="1952369"/>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952369"/>
                    </a:xfrm>
                    <a:prstGeom prst="rect">
                      <a:avLst/>
                    </a:prstGeom>
                    <a:noFill/>
                    <a:ln>
                      <a:noFill/>
                    </a:ln>
                  </pic:spPr>
                </pic:pic>
              </a:graphicData>
            </a:graphic>
          </wp:inline>
        </w:drawing>
      </w:r>
    </w:p>
    <w:p w14:paraId="3335BB85" w14:textId="74E1F8E8" w:rsidR="007F121D" w:rsidRDefault="007F121D" w:rsidP="007F121D">
      <w:pPr>
        <w:spacing w:after="120" w:line="480" w:lineRule="auto"/>
        <w:rPr>
          <w:rFonts w:ascii="Times New Roman" w:eastAsia="Times New Roman" w:hAnsi="Times New Roman" w:cs="Times New Roman"/>
          <w:b/>
        </w:rPr>
      </w:pPr>
      <w:r>
        <w:rPr>
          <w:rFonts w:ascii="Times New Roman" w:eastAsia="Times New Roman" w:hAnsi="Times New Roman" w:cs="Times New Roman"/>
          <w:b/>
        </w:rPr>
        <w:t xml:space="preserve">Supplemental Figure 3. Kaplan–Meier curves </w:t>
      </w:r>
      <w:proofErr w:type="gramStart"/>
      <w:r>
        <w:rPr>
          <w:rFonts w:ascii="Times New Roman" w:eastAsia="Times New Roman" w:hAnsi="Times New Roman" w:cs="Times New Roman"/>
          <w:b/>
        </w:rPr>
        <w:t>showing  time</w:t>
      </w:r>
      <w:proofErr w:type="gramEnd"/>
      <w:r>
        <w:rPr>
          <w:rFonts w:ascii="Times New Roman" w:eastAsia="Times New Roman" w:hAnsi="Times New Roman" w:cs="Times New Roman"/>
          <w:b/>
        </w:rPr>
        <w:t xml:space="preserve"> to progression in patients in the DTS and S groups.</w:t>
      </w:r>
    </w:p>
    <w:p w14:paraId="2F67A998" w14:textId="77777777" w:rsidR="007F121D" w:rsidRDefault="007F121D" w:rsidP="007F121D">
      <w:pPr>
        <w:spacing w:after="120" w:line="480" w:lineRule="auto"/>
        <w:rPr>
          <w:rFonts w:ascii="Times New Roman" w:eastAsia="Times New Roman" w:hAnsi="Times New Roman" w:cs="Times New Roman"/>
        </w:rPr>
      </w:pPr>
      <w:r>
        <w:rPr>
          <w:rFonts w:ascii="Times New Roman" w:eastAsia="Times New Roman" w:hAnsi="Times New Roman" w:cs="Times New Roman"/>
        </w:rPr>
        <w:t>The dotted lines represent the 95% confidence intervals. DTS group: patients treated with drug-eluting bead transarterial chemoembolization plus sorafenib; S group, patients treated with sorafenib monotherapy; HR, hazard ratio.</w:t>
      </w:r>
    </w:p>
    <w:p w14:paraId="7B361101" w14:textId="77777777" w:rsidR="007F121D" w:rsidRDefault="007F121D">
      <w:pPr>
        <w:widowControl/>
        <w:jc w:val="left"/>
        <w:rPr>
          <w:rFonts w:ascii="Times New Roman" w:eastAsia="Times New Roman" w:hAnsi="Times New Roman" w:cs="Times New Roman"/>
          <w:b/>
        </w:rPr>
      </w:pPr>
      <w:r>
        <w:rPr>
          <w:rFonts w:ascii="Times New Roman" w:eastAsia="Times New Roman" w:hAnsi="Times New Roman" w:cs="Times New Roman"/>
          <w:b/>
        </w:rPr>
        <w:br w:type="page"/>
      </w:r>
    </w:p>
    <w:p w14:paraId="35F5DCCF" w14:textId="14844DCA" w:rsidR="007F121D" w:rsidRDefault="007F121D" w:rsidP="007F121D">
      <w:pPr>
        <w:spacing w:after="120" w:line="480" w:lineRule="auto"/>
        <w:rPr>
          <w:rFonts w:ascii="Times New Roman" w:eastAsia="Times New Roman" w:hAnsi="Times New Roman" w:cs="Times New Roman"/>
          <w:b/>
        </w:rPr>
      </w:pPr>
      <w:r>
        <w:rPr>
          <w:noProof/>
        </w:rPr>
        <w:lastRenderedPageBreak/>
        <w:drawing>
          <wp:inline distT="0" distB="0" distL="0" distR="0" wp14:anchorId="6A4E038C" wp14:editId="39C16FB8">
            <wp:extent cx="5274310" cy="549313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5493130"/>
                    </a:xfrm>
                    <a:prstGeom prst="rect">
                      <a:avLst/>
                    </a:prstGeom>
                    <a:noFill/>
                    <a:ln>
                      <a:noFill/>
                    </a:ln>
                  </pic:spPr>
                </pic:pic>
              </a:graphicData>
            </a:graphic>
          </wp:inline>
        </w:drawing>
      </w:r>
    </w:p>
    <w:p w14:paraId="36E2029D" w14:textId="64373B96" w:rsidR="007F121D" w:rsidRDefault="007F121D" w:rsidP="007F121D">
      <w:pPr>
        <w:spacing w:after="120" w:line="480" w:lineRule="auto"/>
        <w:rPr>
          <w:rFonts w:ascii="Times New Roman" w:eastAsia="Times New Roman" w:hAnsi="Times New Roman" w:cs="Times New Roman"/>
          <w:b/>
        </w:rPr>
      </w:pPr>
      <w:r>
        <w:rPr>
          <w:rFonts w:ascii="Times New Roman" w:eastAsia="Times New Roman" w:hAnsi="Times New Roman" w:cs="Times New Roman"/>
          <w:b/>
        </w:rPr>
        <w:t>Supplemental Figure 4. Forest plots of time to progression in the patient subgroups.</w:t>
      </w:r>
    </w:p>
    <w:p w14:paraId="178B0513" w14:textId="77777777" w:rsidR="007F121D" w:rsidRDefault="007F121D" w:rsidP="007F121D">
      <w:pPr>
        <w:spacing w:after="120" w:line="480" w:lineRule="auto"/>
        <w:rPr>
          <w:rFonts w:ascii="Times New Roman" w:eastAsia="Times New Roman" w:hAnsi="Times New Roman" w:cs="Times New Roman"/>
        </w:rPr>
      </w:pPr>
      <w:r>
        <w:rPr>
          <w:rFonts w:ascii="Times New Roman" w:eastAsia="Times New Roman" w:hAnsi="Times New Roman" w:cs="Times New Roman"/>
        </w:rPr>
        <w:t>Subgroup analyses for time to progression. AFP, α-fetoprotein; HBV, hepatitis B virus; HR, hazard ratio; PVTT, portal vein tumor thrombus; Second/Lower, PVTT in the second- or lower-order branches; First, PVTT in the first-order branches.</w:t>
      </w:r>
    </w:p>
    <w:p w14:paraId="704FDE27" w14:textId="77777777" w:rsidR="007F121D" w:rsidRDefault="007F121D">
      <w:pPr>
        <w:widowControl/>
        <w:jc w:val="left"/>
        <w:rPr>
          <w:rFonts w:ascii="Times New Roman" w:eastAsia="Times New Roman" w:hAnsi="Times New Roman" w:cs="Times New Roman"/>
          <w:b/>
        </w:rPr>
      </w:pPr>
      <w:r>
        <w:rPr>
          <w:rFonts w:ascii="Times New Roman" w:eastAsia="Times New Roman" w:hAnsi="Times New Roman" w:cs="Times New Roman"/>
          <w:b/>
        </w:rPr>
        <w:br w:type="page"/>
      </w:r>
    </w:p>
    <w:p w14:paraId="0007293B" w14:textId="5862FB89" w:rsidR="007F121D" w:rsidRDefault="007F121D" w:rsidP="007F121D">
      <w:pPr>
        <w:spacing w:line="480" w:lineRule="auto"/>
        <w:rPr>
          <w:rFonts w:ascii="Times New Roman" w:eastAsia="Times New Roman" w:hAnsi="Times New Roman" w:cs="Times New Roman"/>
          <w:b/>
        </w:rPr>
      </w:pPr>
      <w:r>
        <w:rPr>
          <w:noProof/>
        </w:rPr>
        <w:lastRenderedPageBreak/>
        <w:drawing>
          <wp:inline distT="0" distB="0" distL="0" distR="0" wp14:anchorId="0A5EA96D" wp14:editId="45E48091">
            <wp:extent cx="5274310" cy="3951733"/>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951733"/>
                    </a:xfrm>
                    <a:prstGeom prst="rect">
                      <a:avLst/>
                    </a:prstGeom>
                    <a:noFill/>
                    <a:ln>
                      <a:noFill/>
                    </a:ln>
                  </pic:spPr>
                </pic:pic>
              </a:graphicData>
            </a:graphic>
          </wp:inline>
        </w:drawing>
      </w:r>
      <w:bookmarkStart w:id="0" w:name="_GoBack"/>
      <w:bookmarkEnd w:id="0"/>
    </w:p>
    <w:p w14:paraId="4B4E5AAE" w14:textId="430A5FBA" w:rsidR="007F121D" w:rsidRDefault="007F121D" w:rsidP="007F121D">
      <w:pPr>
        <w:spacing w:line="480" w:lineRule="auto"/>
        <w:rPr>
          <w:rFonts w:ascii="Times New Roman" w:eastAsia="Times New Roman" w:hAnsi="Times New Roman" w:cs="Times New Roman"/>
          <w:b/>
        </w:rPr>
      </w:pPr>
      <w:r>
        <w:rPr>
          <w:rFonts w:ascii="Times New Roman" w:eastAsia="Times New Roman" w:hAnsi="Times New Roman" w:cs="Times New Roman"/>
          <w:b/>
        </w:rPr>
        <w:t xml:space="preserve">Supplemental Figure 5. Kaplan-Meier curves showing (A) overall survival and (B) time to progression in patients who received 2 or ≥2 sessions of DEB-TACE in the DTS group. </w:t>
      </w:r>
    </w:p>
    <w:p w14:paraId="17F9A892" w14:textId="77777777" w:rsidR="007F121D" w:rsidRDefault="007F121D" w:rsidP="007F121D">
      <w:pPr>
        <w:spacing w:line="480" w:lineRule="auto"/>
        <w:rPr>
          <w:rFonts w:ascii="Times New Roman" w:eastAsia="Times New Roman" w:hAnsi="Times New Roman" w:cs="Times New Roman"/>
        </w:rPr>
      </w:pPr>
      <w:r>
        <w:rPr>
          <w:rFonts w:ascii="Times New Roman" w:eastAsia="Times New Roman" w:hAnsi="Times New Roman" w:cs="Times New Roman"/>
        </w:rPr>
        <w:t>The dotted lines represent the 95% confidence intervals (CIs). DTS group: patients treated with drug-eluting bead transarterial chemoembolization (DEB-TACE) plus sorafenib; HR, hazard ratio.</w:t>
      </w:r>
    </w:p>
    <w:p w14:paraId="16B1948B" w14:textId="4330A3D4" w:rsidR="001D1741" w:rsidRPr="00F042C9" w:rsidRDefault="001D1741" w:rsidP="00F042C9">
      <w:pPr>
        <w:autoSpaceDE w:val="0"/>
        <w:autoSpaceDN w:val="0"/>
        <w:adjustRightInd w:val="0"/>
        <w:spacing w:line="480" w:lineRule="auto"/>
        <w:outlineLvl w:val="0"/>
        <w:rPr>
          <w:rFonts w:ascii="Times New Roman" w:hAnsi="Times New Roman" w:cs="Times New Roman"/>
          <w:noProof/>
        </w:rPr>
      </w:pPr>
    </w:p>
    <w:sectPr w:rsidR="001D1741" w:rsidRPr="00F042C9" w:rsidSect="00441E8C">
      <w:pgSz w:w="11906" w:h="16838"/>
      <w:pgMar w:top="1440" w:right="1800" w:bottom="1440" w:left="1800" w:header="851" w:footer="992" w:gutter="0"/>
      <w:cols w:space="425"/>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B2F1E6" w16cex:dateUtc="2021-08-02T20:36:00Z"/>
  <w16cex:commentExtensible w16cex:durableId="24B411B0" w16cex:dateUtc="2021-08-03T13:34:00Z"/>
  <w16cex:commentExtensible w16cex:durableId="24B411D7" w16cex:dateUtc="2021-08-03T13:3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D60459" w14:textId="77777777" w:rsidR="009735CB" w:rsidRDefault="009735CB" w:rsidP="00680368">
      <w:pPr>
        <w:spacing w:after="0" w:line="240" w:lineRule="auto"/>
      </w:pPr>
      <w:r>
        <w:separator/>
      </w:r>
    </w:p>
  </w:endnote>
  <w:endnote w:type="continuationSeparator" w:id="0">
    <w:p w14:paraId="6040804C" w14:textId="77777777" w:rsidR="009735CB" w:rsidRDefault="009735CB" w:rsidP="006803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E6052B" w14:textId="77777777" w:rsidR="009735CB" w:rsidRDefault="009735CB" w:rsidP="00680368">
      <w:pPr>
        <w:spacing w:after="0" w:line="240" w:lineRule="auto"/>
      </w:pPr>
      <w:r>
        <w:separator/>
      </w:r>
    </w:p>
  </w:footnote>
  <w:footnote w:type="continuationSeparator" w:id="0">
    <w:p w14:paraId="05AC1AA0" w14:textId="77777777" w:rsidR="009735CB" w:rsidRDefault="009735CB" w:rsidP="006803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zMzIwNDYwM7OwMDdS0lEKTi0uzszPAykwrwUAt9DdFiwAAAA="/>
  </w:docVars>
  <w:rsids>
    <w:rsidRoot w:val="00AC066F"/>
    <w:rsid w:val="0004565B"/>
    <w:rsid w:val="000D36FE"/>
    <w:rsid w:val="00195D12"/>
    <w:rsid w:val="001D1741"/>
    <w:rsid w:val="0022262B"/>
    <w:rsid w:val="002258ED"/>
    <w:rsid w:val="00280D47"/>
    <w:rsid w:val="002E1F5F"/>
    <w:rsid w:val="002E20C2"/>
    <w:rsid w:val="003E5B5B"/>
    <w:rsid w:val="00441E8C"/>
    <w:rsid w:val="00503E99"/>
    <w:rsid w:val="00546330"/>
    <w:rsid w:val="0055219A"/>
    <w:rsid w:val="00566352"/>
    <w:rsid w:val="00577420"/>
    <w:rsid w:val="00641FA2"/>
    <w:rsid w:val="00674684"/>
    <w:rsid w:val="00680368"/>
    <w:rsid w:val="0069712F"/>
    <w:rsid w:val="006E2A18"/>
    <w:rsid w:val="007503A6"/>
    <w:rsid w:val="0075456E"/>
    <w:rsid w:val="007E51C2"/>
    <w:rsid w:val="007F121D"/>
    <w:rsid w:val="008101AB"/>
    <w:rsid w:val="0081387A"/>
    <w:rsid w:val="0086335D"/>
    <w:rsid w:val="008A014D"/>
    <w:rsid w:val="00931FAB"/>
    <w:rsid w:val="009735CB"/>
    <w:rsid w:val="00A00AB6"/>
    <w:rsid w:val="00AC066F"/>
    <w:rsid w:val="00B10237"/>
    <w:rsid w:val="00B24FEF"/>
    <w:rsid w:val="00B7039C"/>
    <w:rsid w:val="00C7081B"/>
    <w:rsid w:val="00D04F40"/>
    <w:rsid w:val="00D37B7C"/>
    <w:rsid w:val="00D46037"/>
    <w:rsid w:val="00D6056B"/>
    <w:rsid w:val="00DA3765"/>
    <w:rsid w:val="00DC3841"/>
    <w:rsid w:val="00DE1F09"/>
    <w:rsid w:val="00EF4B7F"/>
    <w:rsid w:val="00F042C9"/>
    <w:rsid w:val="00F9129E"/>
    <w:rsid w:val="00F91ADB"/>
    <w:rsid w:val="00FA00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285A49"/>
  <w15:chartTrackingRefBased/>
  <w15:docId w15:val="{50F41B20-963F-49D2-BB97-5A31E36D6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605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D6056B"/>
    <w:rPr>
      <w:sz w:val="16"/>
      <w:szCs w:val="16"/>
    </w:rPr>
  </w:style>
  <w:style w:type="paragraph" w:styleId="a4">
    <w:name w:val="annotation text"/>
    <w:basedOn w:val="a"/>
    <w:link w:val="a5"/>
    <w:uiPriority w:val="99"/>
    <w:unhideWhenUsed/>
    <w:rsid w:val="00D6056B"/>
    <w:pPr>
      <w:spacing w:line="240" w:lineRule="auto"/>
    </w:pPr>
    <w:rPr>
      <w:sz w:val="20"/>
      <w:szCs w:val="20"/>
    </w:rPr>
  </w:style>
  <w:style w:type="character" w:customStyle="1" w:styleId="a5">
    <w:name w:val="批注文字 字符"/>
    <w:basedOn w:val="a0"/>
    <w:link w:val="a4"/>
    <w:uiPriority w:val="99"/>
    <w:rsid w:val="00D6056B"/>
    <w:rPr>
      <w:sz w:val="20"/>
      <w:szCs w:val="20"/>
    </w:rPr>
  </w:style>
  <w:style w:type="paragraph" w:styleId="a6">
    <w:name w:val="Balloon Text"/>
    <w:basedOn w:val="a"/>
    <w:link w:val="a7"/>
    <w:uiPriority w:val="99"/>
    <w:semiHidden/>
    <w:unhideWhenUsed/>
    <w:rsid w:val="00D6056B"/>
    <w:pPr>
      <w:spacing w:after="0" w:line="240" w:lineRule="auto"/>
    </w:pPr>
    <w:rPr>
      <w:rFonts w:ascii="Microsoft YaHei UI" w:eastAsia="Microsoft YaHei UI"/>
      <w:sz w:val="18"/>
      <w:szCs w:val="18"/>
    </w:rPr>
  </w:style>
  <w:style w:type="character" w:customStyle="1" w:styleId="a7">
    <w:name w:val="批注框文本 字符"/>
    <w:basedOn w:val="a0"/>
    <w:link w:val="a6"/>
    <w:uiPriority w:val="99"/>
    <w:semiHidden/>
    <w:rsid w:val="00D6056B"/>
    <w:rPr>
      <w:rFonts w:ascii="Microsoft YaHei UI" w:eastAsia="Microsoft YaHei UI"/>
      <w:sz w:val="18"/>
      <w:szCs w:val="18"/>
    </w:rPr>
  </w:style>
  <w:style w:type="paragraph" w:styleId="a8">
    <w:name w:val="header"/>
    <w:basedOn w:val="a"/>
    <w:link w:val="a9"/>
    <w:uiPriority w:val="99"/>
    <w:unhideWhenUsed/>
    <w:rsid w:val="00680368"/>
    <w:pPr>
      <w:tabs>
        <w:tab w:val="center" w:pos="4320"/>
        <w:tab w:val="right" w:pos="8640"/>
      </w:tabs>
      <w:spacing w:after="0" w:line="240" w:lineRule="auto"/>
    </w:pPr>
  </w:style>
  <w:style w:type="character" w:customStyle="1" w:styleId="a9">
    <w:name w:val="页眉 字符"/>
    <w:basedOn w:val="a0"/>
    <w:link w:val="a8"/>
    <w:uiPriority w:val="99"/>
    <w:rsid w:val="00680368"/>
  </w:style>
  <w:style w:type="paragraph" w:styleId="aa">
    <w:name w:val="footer"/>
    <w:basedOn w:val="a"/>
    <w:link w:val="ab"/>
    <w:uiPriority w:val="99"/>
    <w:unhideWhenUsed/>
    <w:rsid w:val="00680368"/>
    <w:pPr>
      <w:tabs>
        <w:tab w:val="center" w:pos="4320"/>
        <w:tab w:val="right" w:pos="8640"/>
      </w:tabs>
      <w:spacing w:after="0" w:line="240" w:lineRule="auto"/>
    </w:pPr>
  </w:style>
  <w:style w:type="character" w:customStyle="1" w:styleId="ab">
    <w:name w:val="页脚 字符"/>
    <w:basedOn w:val="a0"/>
    <w:link w:val="aa"/>
    <w:uiPriority w:val="99"/>
    <w:rsid w:val="00680368"/>
  </w:style>
  <w:style w:type="paragraph" w:styleId="ac">
    <w:name w:val="annotation subject"/>
    <w:basedOn w:val="a4"/>
    <w:next w:val="a4"/>
    <w:link w:val="ad"/>
    <w:uiPriority w:val="99"/>
    <w:semiHidden/>
    <w:unhideWhenUsed/>
    <w:rsid w:val="00546330"/>
    <w:rPr>
      <w:b/>
      <w:bCs/>
    </w:rPr>
  </w:style>
  <w:style w:type="character" w:customStyle="1" w:styleId="ad">
    <w:name w:val="批注主题 字符"/>
    <w:basedOn w:val="a5"/>
    <w:link w:val="ac"/>
    <w:uiPriority w:val="99"/>
    <w:semiHidden/>
    <w:rsid w:val="0054633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032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496DE-F259-4792-B3BA-36E87F3C8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5</Pages>
  <Words>388</Words>
  <Characters>2215</Characters>
  <Application>Microsoft Office Word</Application>
  <DocSecurity>0</DocSecurity>
  <Lines>18</Lines>
  <Paragraphs>5</Paragraphs>
  <ScaleCrop>false</ScaleCrop>
  <Company>中山大学</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 博文</dc:creator>
  <cp:keywords/>
  <dc:description/>
  <cp:lastModifiedBy>80796</cp:lastModifiedBy>
  <cp:revision>38</cp:revision>
  <dcterms:created xsi:type="dcterms:W3CDTF">2021-03-31T11:00:00Z</dcterms:created>
  <dcterms:modified xsi:type="dcterms:W3CDTF">2022-02-04T15:04:00Z</dcterms:modified>
</cp:coreProperties>
</file>