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AFF" w:rsidRPr="00BF04F8" w:rsidRDefault="003B7231" w:rsidP="00014AFF">
      <w:pPr>
        <w:spacing w:line="480" w:lineRule="auto"/>
        <w:rPr>
          <w:b/>
        </w:rPr>
      </w:pPr>
      <w:r>
        <w:rPr>
          <w:rFonts w:hint="eastAsia"/>
          <w:b/>
        </w:rPr>
        <w:t>Additional</w:t>
      </w:r>
      <w:r w:rsidR="00014AFF" w:rsidRPr="00BF04F8">
        <w:rPr>
          <w:b/>
        </w:rPr>
        <w:t xml:space="preserve"> information</w:t>
      </w:r>
    </w:p>
    <w:p w:rsidR="00014AFF" w:rsidRDefault="00014AFF" w:rsidP="00014AFF">
      <w:r>
        <w:rPr>
          <w:rFonts w:hint="eastAsia"/>
          <w:noProof/>
        </w:rPr>
        <w:drawing>
          <wp:inline distT="0" distB="0" distL="0" distR="0" wp14:anchorId="0CB6887B" wp14:editId="519E910D">
            <wp:extent cx="5934075" cy="4381500"/>
            <wp:effectExtent l="0" t="0" r="9525" b="0"/>
            <wp:docPr id="13" name="図 13" descr="C:\Users\ikyoku01\Desktop\Figures\スライド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kyoku01\Desktop\Figures\スライド7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045"/>
                    <a:stretch/>
                  </pic:blipFill>
                  <pic:spPr bwMode="auto">
                    <a:xfrm>
                      <a:off x="0" y="0"/>
                      <a:ext cx="5934075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4AFF" w:rsidRDefault="00291821" w:rsidP="00014AFF">
      <w:proofErr w:type="gramStart"/>
      <w:r>
        <w:rPr>
          <w:rFonts w:hint="eastAsia"/>
        </w:rPr>
        <w:t xml:space="preserve">Additional figure </w:t>
      </w:r>
      <w:r w:rsidR="00014AFF">
        <w:t>1.</w:t>
      </w:r>
      <w:proofErr w:type="gramEnd"/>
      <w:r w:rsidR="00014AFF">
        <w:t xml:space="preserve"> Results of semi-qPCR for LT2e cell line. The intensity of each band was quantified. The expression pattern of each gene is similar to that of WA09 cell line. n= 3.</w:t>
      </w:r>
    </w:p>
    <w:p w:rsidR="00014AFF" w:rsidRDefault="00014AFF" w:rsidP="00014AFF">
      <w:pPr>
        <w:spacing w:line="480" w:lineRule="auto"/>
      </w:pPr>
    </w:p>
    <w:p w:rsidR="00014AFF" w:rsidRDefault="00014AFF" w:rsidP="00014AFF">
      <w:r>
        <w:br w:type="page"/>
      </w:r>
    </w:p>
    <w:p w:rsidR="00014AFF" w:rsidRDefault="00014AFF" w:rsidP="00014AFF">
      <w:r>
        <w:rPr>
          <w:rFonts w:hint="eastAsia"/>
          <w:noProof/>
        </w:rPr>
        <w:lastRenderedPageBreak/>
        <w:drawing>
          <wp:inline distT="0" distB="0" distL="0" distR="0" wp14:anchorId="4B2F8CAB" wp14:editId="7A345A01">
            <wp:extent cx="5934075" cy="4362450"/>
            <wp:effectExtent l="0" t="0" r="9525" b="0"/>
            <wp:docPr id="14" name="図 14" descr="C:\Users\ikyoku01\Desktop\Figures\スライド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ikyoku01\Desktop\Figures\スライド8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367"/>
                    <a:stretch/>
                  </pic:blipFill>
                  <pic:spPr bwMode="auto">
                    <a:xfrm>
                      <a:off x="0" y="0"/>
                      <a:ext cx="5934075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4AFF" w:rsidRDefault="00291821" w:rsidP="00014AFF">
      <w:proofErr w:type="gramStart"/>
      <w:r>
        <w:rPr>
          <w:rFonts w:hint="eastAsia"/>
        </w:rPr>
        <w:t>Additional figure 2</w:t>
      </w:r>
      <w:r w:rsidR="00014AFF">
        <w:t>.</w:t>
      </w:r>
      <w:proofErr w:type="gramEnd"/>
      <w:r w:rsidR="00014AFF">
        <w:t xml:space="preserve"> ABR results at day 28 for WT and Pou4f3DTR/+ mice with or without DT. A hearing threshold of Pou4f3DTR/+ mice that received DT is increased over 90dB while hearing of WT with or without DT and Pou4f3DTR/+ without DT mice are preserved. n=4 for WT without DT, n= 6 for WT with DT, n= 4 for Pou4f3DTR/+ mice without DT and n=5 for Pou4f3DTR/+ with DT.</w:t>
      </w:r>
    </w:p>
    <w:p w:rsidR="00014AFF" w:rsidRDefault="00014AFF" w:rsidP="00014AFF">
      <w:pPr>
        <w:spacing w:line="480" w:lineRule="auto"/>
      </w:pPr>
    </w:p>
    <w:p w:rsidR="00014AFF" w:rsidRDefault="00014AFF" w:rsidP="00014AFF">
      <w:r>
        <w:br w:type="page"/>
      </w:r>
    </w:p>
    <w:p w:rsidR="00014AFF" w:rsidRDefault="00014AFF" w:rsidP="00014AFF">
      <w:r>
        <w:rPr>
          <w:rFonts w:hint="eastAsia"/>
          <w:noProof/>
        </w:rPr>
        <w:lastRenderedPageBreak/>
        <w:drawing>
          <wp:inline distT="0" distB="0" distL="0" distR="0" wp14:anchorId="456DC90E" wp14:editId="1FC6FF1F">
            <wp:extent cx="5934075" cy="5924550"/>
            <wp:effectExtent l="0" t="0" r="9525" b="0"/>
            <wp:docPr id="15" name="図 15" descr="C:\Users\ikyoku01\Desktop\Figures\スライド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ikyoku01\Desktop\Figures\スライド9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92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AFF" w:rsidRDefault="00291821" w:rsidP="00014AFF">
      <w:proofErr w:type="gramStart"/>
      <w:r>
        <w:rPr>
          <w:rFonts w:hint="eastAsia"/>
        </w:rPr>
        <w:t>Additional figure 3</w:t>
      </w:r>
      <w:r w:rsidR="00014AFF">
        <w:t>.</w:t>
      </w:r>
      <w:proofErr w:type="gramEnd"/>
      <w:r w:rsidR="00014AFF">
        <w:t xml:space="preserve"> </w:t>
      </w:r>
      <w:proofErr w:type="gramStart"/>
      <w:r w:rsidR="00014AFF">
        <w:t>Results of cell viability tests.</w:t>
      </w:r>
      <w:proofErr w:type="gramEnd"/>
      <w:r w:rsidR="00014AFF">
        <w:t xml:space="preserve"> (A) The cell survival rate was assessed after ejecting from the micro-glass pipettes. Cells were completely clogged in the pipette when 12.5 </w:t>
      </w:r>
      <w:proofErr w:type="spellStart"/>
      <w:r w:rsidR="00014AFF">
        <w:t>μm</w:t>
      </w:r>
      <w:proofErr w:type="spellEnd"/>
      <w:r w:rsidR="00014AFF">
        <w:t xml:space="preserve"> sized tip was chosen, while 40-50% of cells were alive when 18.75 </w:t>
      </w:r>
      <w:proofErr w:type="spellStart"/>
      <w:r w:rsidR="00014AFF">
        <w:t>μm</w:t>
      </w:r>
      <w:proofErr w:type="spellEnd"/>
      <w:r w:rsidR="00014AFF">
        <w:t xml:space="preserve"> used. The best survival rate (90-100%) was recorded by 25 </w:t>
      </w:r>
      <w:proofErr w:type="spellStart"/>
      <w:r w:rsidR="00014AFF">
        <w:t>μm</w:t>
      </w:r>
      <w:proofErr w:type="spellEnd"/>
      <w:r w:rsidR="00014AFF">
        <w:t xml:space="preserve"> of tip. n=1 (B)(C) Cell viability test was performed with two different media, DMEM and SF media (B) or different temperature (C) using trypan blue solution in vitro (</w:t>
      </w:r>
      <w:proofErr w:type="spellStart"/>
      <w:r w:rsidR="00014AFF">
        <w:t>Thermo</w:t>
      </w:r>
      <w:proofErr w:type="spellEnd"/>
      <w:r w:rsidR="00014AFF">
        <w:t xml:space="preserve"> Fisher). SF media shows better survivability at 60- 120 mins after cell dissociation than DMEM. There is no difference between each temperature condition. Each n=1.</w:t>
      </w:r>
    </w:p>
    <w:p w:rsidR="00014AFF" w:rsidRDefault="00014AFF" w:rsidP="00014AFF">
      <w:pPr>
        <w:spacing w:line="480" w:lineRule="auto"/>
      </w:pPr>
      <w:r>
        <w:t xml:space="preserve"> </w:t>
      </w:r>
    </w:p>
    <w:p w:rsidR="00014AFF" w:rsidRDefault="00014AFF" w:rsidP="00014AFF">
      <w:r>
        <w:br w:type="page"/>
      </w:r>
    </w:p>
    <w:p w:rsidR="00014AFF" w:rsidRDefault="00014AFF" w:rsidP="00014AFF"/>
    <w:p w:rsidR="00014AFF" w:rsidRDefault="00014AFF" w:rsidP="00014AFF">
      <w:r>
        <w:rPr>
          <w:rFonts w:hint="eastAsia"/>
          <w:noProof/>
        </w:rPr>
        <w:drawing>
          <wp:inline distT="0" distB="0" distL="0" distR="0" wp14:anchorId="3036045B" wp14:editId="2351E476">
            <wp:extent cx="5934075" cy="3762375"/>
            <wp:effectExtent l="0" t="0" r="9525" b="9525"/>
            <wp:docPr id="16" name="図 16" descr="C:\Users\ikyoku01\Desktop\Figures\スライド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ikyoku01\Desktop\Figures\スライド10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495"/>
                    <a:stretch/>
                  </pic:blipFill>
                  <pic:spPr bwMode="auto">
                    <a:xfrm>
                      <a:off x="0" y="0"/>
                      <a:ext cx="5934075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proofErr w:type="gramStart"/>
      <w:r w:rsidR="00291821">
        <w:rPr>
          <w:rFonts w:hint="eastAsia"/>
        </w:rPr>
        <w:t>Additional figure 4</w:t>
      </w:r>
      <w:r>
        <w:t>.</w:t>
      </w:r>
      <w:proofErr w:type="gramEnd"/>
      <w:r>
        <w:t xml:space="preserve"> The graph showing the percentage of engrafted cells expressed supporting cell marker (Sox2) and hair cell marker (Myoa7a) in the OC at day 28 in a Pou4f3DTR/+ mouse after DT and cell transplantation. 50% of the engrafted cells were positive for Sox2 and 30% of the engrafted cells were Sox2 and Myo7a double-positive, while 20% of the engrafted cells did not express either Sox2 or Myo7a. </w:t>
      </w:r>
    </w:p>
    <w:p w:rsidR="00014AFF" w:rsidRDefault="00014AFF" w:rsidP="00014AFF">
      <w:pPr>
        <w:spacing w:line="480" w:lineRule="auto"/>
      </w:pPr>
    </w:p>
    <w:p w:rsidR="00014AFF" w:rsidRDefault="00014AFF" w:rsidP="00014AFF">
      <w:r>
        <w:br w:type="page"/>
      </w:r>
    </w:p>
    <w:p w:rsidR="00014AFF" w:rsidRDefault="00014AFF" w:rsidP="00014AFF"/>
    <w:p w:rsidR="00014AFF" w:rsidRDefault="00014AFF" w:rsidP="00014AFF">
      <w:r>
        <w:rPr>
          <w:rFonts w:hint="eastAsia"/>
          <w:noProof/>
        </w:rPr>
        <w:drawing>
          <wp:inline distT="0" distB="0" distL="0" distR="0" wp14:anchorId="17B64EB3" wp14:editId="47F5D59C">
            <wp:extent cx="5934075" cy="4000500"/>
            <wp:effectExtent l="0" t="0" r="9525" b="0"/>
            <wp:docPr id="17" name="図 17" descr="C:\Users\ikyoku01\Desktop\Figures\スライド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ikyoku01\Desktop\Figures\スライド1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476"/>
                    <a:stretch/>
                  </pic:blipFill>
                  <pic:spPr bwMode="auto">
                    <a:xfrm>
                      <a:off x="0" y="0"/>
                      <a:ext cx="5934075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proofErr w:type="gramStart"/>
      <w:r w:rsidR="00291821">
        <w:rPr>
          <w:rFonts w:hint="eastAsia"/>
        </w:rPr>
        <w:t>Additional figure 5</w:t>
      </w:r>
      <w:r>
        <w:t>.</w:t>
      </w:r>
      <w:proofErr w:type="gramEnd"/>
      <w:r>
        <w:t xml:space="preserve"> ABR results at day 26-28 for WT and Pou4f3DTR/+ mice after cell transplantation. Hearing thresholds of Pou4f3DTR/+ mice with DT was not improved by cell transplantation. WT mice received both DT injection and cell transplantation shows slight damage to hearing.</w:t>
      </w:r>
    </w:p>
    <w:p w:rsidR="00014AFF" w:rsidRDefault="00014AFF" w:rsidP="00014AFF"/>
    <w:p w:rsidR="00014AFF" w:rsidRDefault="00014AFF" w:rsidP="00014AFF">
      <w:pPr>
        <w:spacing w:line="480" w:lineRule="auto"/>
      </w:pPr>
    </w:p>
    <w:p w:rsidR="00014AFF" w:rsidRDefault="00014AFF" w:rsidP="00014AFF">
      <w:r>
        <w:br w:type="page"/>
      </w:r>
    </w:p>
    <w:p w:rsidR="00014AFF" w:rsidRDefault="00014AFF" w:rsidP="00014AFF">
      <w:r>
        <w:rPr>
          <w:rFonts w:hint="eastAsia"/>
          <w:noProof/>
        </w:rPr>
        <w:lastRenderedPageBreak/>
        <w:drawing>
          <wp:inline distT="0" distB="0" distL="0" distR="0" wp14:anchorId="3D109E6F" wp14:editId="419ADD38">
            <wp:extent cx="5934075" cy="4972050"/>
            <wp:effectExtent l="0" t="0" r="9525" b="0"/>
            <wp:docPr id="18" name="図 18" descr="C:\Users\ikyoku01\Desktop\Figures\スライド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ikyoku01\Desktop\Figures\スライド1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078"/>
                    <a:stretch/>
                  </pic:blipFill>
                  <pic:spPr bwMode="auto">
                    <a:xfrm>
                      <a:off x="0" y="0"/>
                      <a:ext cx="5934075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4AFF" w:rsidRDefault="00291821" w:rsidP="00014AFF">
      <w:proofErr w:type="gramStart"/>
      <w:r>
        <w:rPr>
          <w:rFonts w:hint="eastAsia"/>
        </w:rPr>
        <w:t>Additional figure 6</w:t>
      </w:r>
      <w:r w:rsidR="00014AFF">
        <w:t>.</w:t>
      </w:r>
      <w:proofErr w:type="gramEnd"/>
      <w:r w:rsidR="00014AFF">
        <w:t xml:space="preserve"> </w:t>
      </w:r>
      <w:proofErr w:type="gramStart"/>
      <w:r w:rsidR="00014AFF">
        <w:t>Images of the spiral ganglion at day 14 and day 28 after cell transplantation in transgenic mice.</w:t>
      </w:r>
      <w:proofErr w:type="gramEnd"/>
      <w:r w:rsidR="00014AFF">
        <w:t xml:space="preserve"> Green indicates engrafted human cells in the mouse spiral ganglion. On day 14, some engrafted cells make cluster and those are Sox2 positive (a, b). At day 28, a very few cells are still engrafted in the spiral ganglion (c) and </w:t>
      </w:r>
      <w:proofErr w:type="spellStart"/>
      <w:r w:rsidR="00014AFF">
        <w:t>modiolus</w:t>
      </w:r>
      <w:proofErr w:type="spellEnd"/>
      <w:r w:rsidR="00014AFF">
        <w:t xml:space="preserve"> (d). </w:t>
      </w:r>
      <w:proofErr w:type="gramStart"/>
      <w:r w:rsidR="00014AFF">
        <w:t>Green; naïve GFP signal, white; Sox2, red; MAP2 or Tuj1, yellow; NF-200 and Blue; DAPI staining.</w:t>
      </w:r>
      <w:proofErr w:type="gramEnd"/>
      <w:r w:rsidR="00014AFF">
        <w:t xml:space="preserve"> Bars represent 50 </w:t>
      </w:r>
      <w:proofErr w:type="spellStart"/>
      <w:r w:rsidR="00014AFF">
        <w:t>μm</w:t>
      </w:r>
      <w:proofErr w:type="spellEnd"/>
      <w:r w:rsidR="00014AFF">
        <w:t>.</w:t>
      </w:r>
    </w:p>
    <w:p w:rsidR="00CE2EE1" w:rsidRDefault="00CE2EE1" w:rsidP="00272452">
      <w:pPr>
        <w:spacing w:line="480" w:lineRule="auto"/>
        <w:rPr>
          <w:rFonts w:hint="eastAsia"/>
        </w:rPr>
      </w:pPr>
    </w:p>
    <w:p w:rsidR="00D62AC3" w:rsidRDefault="00D62AC3" w:rsidP="00272452">
      <w:pPr>
        <w:spacing w:line="480" w:lineRule="auto"/>
      </w:pPr>
      <w:r>
        <w:br w:type="page"/>
      </w:r>
    </w:p>
    <w:tbl>
      <w:tblPr>
        <w:tblpPr w:leftFromText="142" w:rightFromText="142" w:vertAnchor="page" w:horzAnchor="margin" w:tblpY="1936"/>
        <w:tblW w:w="856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39"/>
        <w:gridCol w:w="2210"/>
        <w:gridCol w:w="1119"/>
        <w:gridCol w:w="2024"/>
        <w:gridCol w:w="1977"/>
      </w:tblGrid>
      <w:tr w:rsidR="00D62AC3" w:rsidRPr="00D62AC3" w:rsidTr="00D62AC3">
        <w:trPr>
          <w:trHeight w:val="209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spacing w:line="268" w:lineRule="atLeast"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b/>
                <w:bCs/>
                <w:color w:val="FFFFFF" w:themeColor="light1"/>
                <w:kern w:val="24"/>
                <w:sz w:val="20"/>
                <w:szCs w:val="32"/>
              </w:rPr>
              <w:lastRenderedPageBreak/>
              <w:t>Antibody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spacing w:line="268" w:lineRule="atLeast"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b/>
                <w:bCs/>
                <w:color w:val="FFFFFF" w:themeColor="light1"/>
                <w:kern w:val="24"/>
                <w:sz w:val="20"/>
                <w:szCs w:val="32"/>
              </w:rPr>
              <w:t>Species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spacing w:line="268" w:lineRule="atLeast"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b/>
                <w:bCs/>
                <w:color w:val="FFFFFF" w:themeColor="light1"/>
                <w:kern w:val="24"/>
                <w:sz w:val="20"/>
                <w:szCs w:val="32"/>
              </w:rPr>
              <w:t>Dilution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spacing w:line="268" w:lineRule="atLeast"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b/>
                <w:bCs/>
                <w:color w:val="FFFFFF" w:themeColor="light1"/>
                <w:kern w:val="24"/>
                <w:sz w:val="20"/>
                <w:szCs w:val="32"/>
              </w:rPr>
              <w:t>Manufacturer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spacing w:line="268" w:lineRule="atLeast"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b/>
                <w:bCs/>
                <w:color w:val="FFFFFF" w:themeColor="light1"/>
                <w:kern w:val="24"/>
                <w:sz w:val="20"/>
                <w:szCs w:val="32"/>
              </w:rPr>
              <w:t>Cat. No.</w:t>
            </w:r>
          </w:p>
        </w:tc>
      </w:tr>
      <w:tr w:rsidR="00D62AC3" w:rsidRPr="00D62AC3" w:rsidTr="00D62AC3">
        <w:trPr>
          <w:trHeight w:val="403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Pax2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Mouse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monoclonal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1:1000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Novus Biologicals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H00005076-M01</w:t>
            </w:r>
          </w:p>
        </w:tc>
      </w:tr>
      <w:tr w:rsidR="00D62AC3" w:rsidRPr="00D62AC3" w:rsidTr="00D62AC3">
        <w:trPr>
          <w:trHeight w:val="40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Six1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Rabbit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polyclonal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1:200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Novus Biologicals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NBP1-84264</w:t>
            </w:r>
          </w:p>
        </w:tc>
      </w:tr>
      <w:tr w:rsidR="00D62AC3" w:rsidRPr="00D62AC3" w:rsidTr="00D62AC3">
        <w:trPr>
          <w:trHeight w:val="40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Eya1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Rabbit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polyclonal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1:50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proofErr w:type="spellStart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Proteintech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22658-1-AP </w:t>
            </w:r>
          </w:p>
        </w:tc>
      </w:tr>
      <w:tr w:rsidR="00D62AC3" w:rsidRPr="00D62AC3" w:rsidTr="00D62AC3">
        <w:trPr>
          <w:trHeight w:val="40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Pax6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Rabbit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polyclonal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1:50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proofErr w:type="spellStart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BioLegend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901301</w:t>
            </w:r>
          </w:p>
        </w:tc>
      </w:tr>
      <w:tr w:rsidR="00D62AC3" w:rsidRPr="00D62AC3" w:rsidTr="00D62AC3">
        <w:trPr>
          <w:trHeight w:val="40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Pax8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Rabbit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polyclonal</w:t>
            </w:r>
          </w:p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Rabbit polyclonal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1:300</w:t>
            </w:r>
          </w:p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1:100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proofErr w:type="spellStart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Abcam</w:t>
            </w:r>
            <w:proofErr w:type="spellEnd"/>
          </w:p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proofErr w:type="spellStart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Proteintech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Ab97477</w:t>
            </w:r>
          </w:p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10336-1-AP</w:t>
            </w:r>
          </w:p>
        </w:tc>
      </w:tr>
      <w:tr w:rsidR="00D62AC3" w:rsidRPr="00D62AC3" w:rsidTr="00D62AC3">
        <w:trPr>
          <w:trHeight w:val="40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Dlx5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Rabbit monoclonal</w:t>
            </w:r>
          </w:p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Mouse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m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onoclonal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1:100</w:t>
            </w:r>
          </w:p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1:50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proofErr w:type="spellStart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Abcam</w:t>
            </w:r>
            <w:proofErr w:type="spellEnd"/>
          </w:p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Santa Cruz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Ab109737</w:t>
            </w:r>
          </w:p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sc-398150 </w:t>
            </w:r>
          </w:p>
        </w:tc>
      </w:tr>
      <w:tr w:rsidR="00D62AC3" w:rsidRPr="00D62AC3" w:rsidTr="00D62AC3">
        <w:trPr>
          <w:trHeight w:val="40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Sox2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Mouse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monoclonal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1:50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R&amp;D Systems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MAB2018</w:t>
            </w:r>
          </w:p>
        </w:tc>
      </w:tr>
      <w:tr w:rsidR="00D62AC3" w:rsidRPr="00D62AC3" w:rsidTr="00D62AC3">
        <w:trPr>
          <w:trHeight w:val="40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Oct4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Mouse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monoclonal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1:50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Santa Cruz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sc-5279</w:t>
            </w:r>
          </w:p>
        </w:tc>
      </w:tr>
    </w:tbl>
    <w:p w:rsidR="00D62AC3" w:rsidRPr="00D62AC3" w:rsidRDefault="00D62AC3" w:rsidP="00D62AC3"/>
    <w:tbl>
      <w:tblPr>
        <w:tblW w:w="0" w:type="auto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77"/>
        <w:gridCol w:w="1851"/>
        <w:gridCol w:w="1113"/>
        <w:gridCol w:w="1820"/>
        <w:gridCol w:w="1678"/>
      </w:tblGrid>
      <w:tr w:rsidR="00D62AC3" w:rsidRPr="00D62AC3" w:rsidTr="00D62AC3">
        <w:trPr>
          <w:trHeight w:val="171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b/>
                <w:bCs/>
                <w:color w:val="FFFFFF" w:themeColor="light1"/>
                <w:kern w:val="24"/>
                <w:sz w:val="20"/>
                <w:szCs w:val="32"/>
              </w:rPr>
              <w:t>Antibody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b/>
                <w:bCs/>
                <w:color w:val="FFFFFF" w:themeColor="light1"/>
                <w:kern w:val="24"/>
                <w:sz w:val="20"/>
                <w:szCs w:val="32"/>
              </w:rPr>
              <w:t>Species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b/>
                <w:bCs/>
                <w:color w:val="FFFFFF" w:themeColor="light1"/>
                <w:kern w:val="24"/>
                <w:sz w:val="20"/>
                <w:szCs w:val="32"/>
              </w:rPr>
              <w:t>Dilution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b/>
                <w:bCs/>
                <w:color w:val="FFFFFF" w:themeColor="light1"/>
                <w:kern w:val="24"/>
                <w:sz w:val="20"/>
                <w:szCs w:val="32"/>
              </w:rPr>
              <w:t>Manufacturer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b/>
                <w:bCs/>
                <w:color w:val="FFFFFF" w:themeColor="light1"/>
                <w:kern w:val="24"/>
                <w:sz w:val="20"/>
                <w:szCs w:val="32"/>
              </w:rPr>
              <w:t>Cat. No.</w:t>
            </w:r>
          </w:p>
        </w:tc>
      </w:tr>
      <w:tr w:rsidR="00D62AC3" w:rsidRPr="00D62AC3" w:rsidTr="004B1F34">
        <w:trPr>
          <w:trHeight w:val="584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proofErr w:type="spellStart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Myo</w:t>
            </w:r>
            <w:proofErr w:type="spellEnd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VIIA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Rabbit polyclonal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1:100-200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Proteus Bioscience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25-6790</w:t>
            </w:r>
          </w:p>
        </w:tc>
      </w:tr>
      <w:tr w:rsidR="00D62AC3" w:rsidRPr="00D62AC3" w:rsidTr="004B1F34">
        <w:trPr>
          <w:trHeight w:val="58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Sox 2 - AF 647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Mouse monoclonal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1:200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Santa Cruz 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sc-365823 AF647</w:t>
            </w:r>
          </w:p>
        </w:tc>
      </w:tr>
      <w:tr w:rsidR="00D62AC3" w:rsidRPr="00D62AC3" w:rsidTr="004B1F34">
        <w:trPr>
          <w:trHeight w:val="58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NF 200kDa - AF 555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Mouse monoclonal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1:500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Millipore Sigma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MAB5256A5</w:t>
            </w:r>
          </w:p>
        </w:tc>
      </w:tr>
    </w:tbl>
    <w:p w:rsidR="00D62AC3" w:rsidRPr="00D62AC3" w:rsidRDefault="00D62AC3" w:rsidP="00D62AC3"/>
    <w:p w:rsidR="00D62AC3" w:rsidRPr="00D62AC3" w:rsidRDefault="00D62AC3" w:rsidP="00D62AC3">
      <w:proofErr w:type="gramStart"/>
      <w:r>
        <w:rPr>
          <w:rFonts w:hint="eastAsia"/>
        </w:rPr>
        <w:t xml:space="preserve">Additional table </w:t>
      </w:r>
      <w:r w:rsidRPr="00D62AC3">
        <w:rPr>
          <w:rFonts w:hint="eastAsia"/>
        </w:rPr>
        <w:t>1.</w:t>
      </w:r>
      <w:proofErr w:type="gramEnd"/>
      <w:r w:rsidRPr="00D62AC3">
        <w:rPr>
          <w:rFonts w:hint="eastAsia"/>
        </w:rPr>
        <w:t xml:space="preserve"> </w:t>
      </w:r>
      <w:r w:rsidRPr="00D62AC3">
        <w:t>Details on antibodies</w:t>
      </w:r>
    </w:p>
    <w:p w:rsidR="00D62AC3" w:rsidRPr="00D62AC3" w:rsidRDefault="00D62AC3" w:rsidP="00D62AC3">
      <w:r w:rsidRPr="00D62AC3"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49"/>
        <w:gridCol w:w="3767"/>
        <w:gridCol w:w="3783"/>
      </w:tblGrid>
      <w:tr w:rsidR="00D62AC3" w:rsidRPr="00D62AC3" w:rsidTr="004B1F34">
        <w:trPr>
          <w:trHeight w:val="518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b/>
                <w:bCs/>
                <w:color w:val="FFFFFF" w:themeColor="light1"/>
                <w:kern w:val="24"/>
                <w:sz w:val="20"/>
                <w:szCs w:val="32"/>
              </w:rPr>
              <w:lastRenderedPageBreak/>
              <w:t>Gene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b/>
                <w:bCs/>
                <w:color w:val="FFFFFF" w:themeColor="light1"/>
                <w:kern w:val="24"/>
                <w:sz w:val="20"/>
                <w:szCs w:val="32"/>
              </w:rPr>
              <w:t>Forward primer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b/>
                <w:bCs/>
                <w:color w:val="FFFFFF" w:themeColor="light1"/>
                <w:kern w:val="24"/>
                <w:sz w:val="20"/>
                <w:szCs w:val="32"/>
              </w:rPr>
              <w:t>Reverse primer</w:t>
            </w:r>
          </w:p>
        </w:tc>
      </w:tr>
      <w:tr w:rsidR="00D62AC3" w:rsidRPr="00D62AC3" w:rsidTr="004B1F34">
        <w:trPr>
          <w:trHeight w:val="518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Oct4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CGA GCA ATT TGC CAA GCT CCT GAA -3’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TTC GGG CAC TGC AGG AAC AAA TTC -3’</w:t>
            </w:r>
          </w:p>
        </w:tc>
      </w:tr>
      <w:tr w:rsidR="00D62AC3" w:rsidRPr="00D62AC3" w:rsidTr="004B1F34">
        <w:trPr>
          <w:trHeight w:val="518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Six1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ACC GCG GCA ACT TCC GTG AG -3’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GTG GGT CTG CAG GCC GTG AC -3’</w:t>
            </w:r>
          </w:p>
        </w:tc>
      </w:tr>
      <w:tr w:rsidR="00D62AC3" w:rsidRPr="00D62AC3" w:rsidTr="004B1F34">
        <w:trPr>
          <w:trHeight w:val="518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Eya1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GCG CGT ACC CAT CCA GGA GC -3’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AGA CGG CTA TGC GGG CTG GT -3’</w:t>
            </w:r>
          </w:p>
        </w:tc>
      </w:tr>
      <w:tr w:rsidR="00D62AC3" w:rsidRPr="00D62AC3" w:rsidTr="004B1F34">
        <w:trPr>
          <w:trHeight w:val="518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Pax6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CGG AGT GAA TCA GTC CGG TG -3’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CCG CTT ATA CTG GGC TAT TTT GC -3’</w:t>
            </w:r>
          </w:p>
        </w:tc>
      </w:tr>
      <w:tr w:rsidR="00D62AC3" w:rsidRPr="00D62AC3" w:rsidTr="004B1F34">
        <w:trPr>
          <w:trHeight w:val="518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Dlx5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CCA GCA TCC GAT CCG GCG AC -3’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GTG GGC ATG AGG GTG </w:t>
            </w:r>
            <w:proofErr w:type="spellStart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GTG</w:t>
            </w:r>
            <w:proofErr w:type="spellEnd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GC -3’</w:t>
            </w:r>
          </w:p>
        </w:tc>
      </w:tr>
      <w:tr w:rsidR="00D62AC3" w:rsidRPr="00D62AC3" w:rsidTr="004B1F34">
        <w:trPr>
          <w:trHeight w:val="518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Pax2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TTC CCA GAG TGG TGT GGA CAG TTT -3’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ACA ACT GGG TAT GTC TGT GTG CCT -3’</w:t>
            </w:r>
          </w:p>
        </w:tc>
      </w:tr>
      <w:tr w:rsidR="00D62AC3" w:rsidRPr="00D62AC3" w:rsidTr="004B1F34">
        <w:trPr>
          <w:trHeight w:val="518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Pax8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ACC CCC AAG GTG </w:t>
            </w:r>
            <w:proofErr w:type="spellStart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GTG</w:t>
            </w:r>
            <w:proofErr w:type="spellEnd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GAG AAG A -3’</w:t>
            </w:r>
          </w:p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AGC AGG AAA CCC CCG AGG TG -3’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CTC GAG GTG </w:t>
            </w:r>
            <w:proofErr w:type="spellStart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GTG</w:t>
            </w:r>
            <w:proofErr w:type="spellEnd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CTG GCT GAA G -3’</w:t>
            </w:r>
          </w:p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TTC CTG CCA </w:t>
            </w:r>
            <w:proofErr w:type="spellStart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CCA</w:t>
            </w:r>
            <w:proofErr w:type="spellEnd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TGC CTG CG -3’</w:t>
            </w:r>
          </w:p>
        </w:tc>
      </w:tr>
      <w:tr w:rsidR="00D62AC3" w:rsidRPr="00D62AC3" w:rsidTr="004B1F34">
        <w:trPr>
          <w:trHeight w:val="518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GAPDH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ACC ACA GTC CAT GCC ATC AC -3’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64" w:type="dxa"/>
              <w:left w:w="128" w:type="dxa"/>
              <w:bottom w:w="64" w:type="dxa"/>
              <w:right w:w="128" w:type="dxa"/>
            </w:tcMar>
            <w:hideMark/>
          </w:tcPr>
          <w:p w:rsidR="00D62AC3" w:rsidRPr="00D62AC3" w:rsidRDefault="00D62AC3" w:rsidP="00D62AC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20"/>
                <w:szCs w:val="36"/>
              </w:rPr>
            </w:pP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5’-</w:t>
            </w:r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TCC ACC </w:t>
            </w:r>
            <w:proofErr w:type="spellStart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>ACC</w:t>
            </w:r>
            <w:proofErr w:type="spellEnd"/>
            <w:r w:rsidRPr="00D62AC3">
              <w:rPr>
                <w:rFonts w:ascii="Calibri" w:eastAsia="ＭＳ Ｐゴシック" w:hAnsi="Calibri" w:cs="Arial"/>
                <w:color w:val="000000" w:themeColor="dark1"/>
                <w:kern w:val="24"/>
                <w:sz w:val="20"/>
                <w:szCs w:val="32"/>
              </w:rPr>
              <w:t xml:space="preserve"> CTG TTG CTG TA -3’</w:t>
            </w:r>
          </w:p>
        </w:tc>
      </w:tr>
    </w:tbl>
    <w:p w:rsidR="00D62AC3" w:rsidRPr="00D62AC3" w:rsidRDefault="00D62AC3" w:rsidP="00D62AC3"/>
    <w:p w:rsidR="00D62AC3" w:rsidRPr="00D62AC3" w:rsidRDefault="00D62AC3" w:rsidP="00D62AC3">
      <w:proofErr w:type="gramStart"/>
      <w:r>
        <w:rPr>
          <w:rFonts w:hint="eastAsia"/>
        </w:rPr>
        <w:t>Additional table 2</w:t>
      </w:r>
      <w:r w:rsidRPr="00D62AC3">
        <w:t>.</w:t>
      </w:r>
      <w:proofErr w:type="gramEnd"/>
      <w:r w:rsidRPr="00D62AC3">
        <w:t xml:space="preserve"> Primer sequences utilized</w:t>
      </w:r>
    </w:p>
    <w:p w:rsidR="00D62AC3" w:rsidRPr="00D62AC3" w:rsidRDefault="00D62AC3" w:rsidP="00272452">
      <w:pPr>
        <w:spacing w:line="480" w:lineRule="auto"/>
      </w:pPr>
      <w:bookmarkStart w:id="0" w:name="_GoBack"/>
      <w:bookmarkEnd w:id="0"/>
    </w:p>
    <w:sectPr w:rsidR="00D62AC3" w:rsidRPr="00D62AC3" w:rsidSect="00BF04F8">
      <w:footerReference w:type="default" r:id="rId14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3D6F" w:rsidRDefault="00083D6F">
      <w:r>
        <w:separator/>
      </w:r>
    </w:p>
  </w:endnote>
  <w:endnote w:type="continuationSeparator" w:id="0">
    <w:p w:rsidR="00083D6F" w:rsidRDefault="00083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1815982"/>
      <w:docPartObj>
        <w:docPartGallery w:val="Page Numbers (Bottom of Page)"/>
        <w:docPartUnique/>
      </w:docPartObj>
    </w:sdtPr>
    <w:sdtEndPr/>
    <w:sdtContent>
      <w:p w:rsidR="00AE6ECE" w:rsidRDefault="00014AF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2AC3" w:rsidRPr="00D62AC3">
          <w:rPr>
            <w:noProof/>
            <w:lang w:val="ja-JP" w:eastAsia="ja-JP"/>
          </w:rPr>
          <w:t>6</w:t>
        </w:r>
        <w:r>
          <w:fldChar w:fldCharType="end"/>
        </w:r>
      </w:p>
    </w:sdtContent>
  </w:sdt>
  <w:p w:rsidR="00AE6ECE" w:rsidRDefault="00083D6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3D6F" w:rsidRDefault="00083D6F">
      <w:r>
        <w:separator/>
      </w:r>
    </w:p>
  </w:footnote>
  <w:footnote w:type="continuationSeparator" w:id="0">
    <w:p w:rsidR="00083D6F" w:rsidRDefault="00083D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9D2CF2"/>
    <w:multiLevelType w:val="multilevel"/>
    <w:tmpl w:val="2A5EC328"/>
    <w:styleLink w:val="1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none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none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none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none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none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none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none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none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AFF"/>
    <w:rsid w:val="00014AFF"/>
    <w:rsid w:val="00083D6F"/>
    <w:rsid w:val="00272452"/>
    <w:rsid w:val="00291821"/>
    <w:rsid w:val="003B7231"/>
    <w:rsid w:val="00B00A23"/>
    <w:rsid w:val="00CE2EE1"/>
    <w:rsid w:val="00D62AC3"/>
    <w:rsid w:val="00E20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スタイル1"/>
    <w:uiPriority w:val="99"/>
    <w:rsid w:val="00E20AF1"/>
    <w:pPr>
      <w:numPr>
        <w:numId w:val="1"/>
      </w:numPr>
    </w:pPr>
  </w:style>
  <w:style w:type="paragraph" w:styleId="a3">
    <w:name w:val="footer"/>
    <w:basedOn w:val="a"/>
    <w:link w:val="a4"/>
    <w:uiPriority w:val="99"/>
    <w:unhideWhenUsed/>
    <w:rsid w:val="00014AFF"/>
    <w:pPr>
      <w:widowControl/>
      <w:tabs>
        <w:tab w:val="center" w:pos="4252"/>
        <w:tab w:val="right" w:pos="8504"/>
      </w:tabs>
      <w:snapToGrid w:val="0"/>
      <w:spacing w:after="160" w:line="259" w:lineRule="auto"/>
      <w:jc w:val="left"/>
    </w:pPr>
    <w:rPr>
      <w:kern w:val="0"/>
      <w:sz w:val="22"/>
      <w:lang w:eastAsia="en-US"/>
    </w:rPr>
  </w:style>
  <w:style w:type="character" w:customStyle="1" w:styleId="a4">
    <w:name w:val="フッター (文字)"/>
    <w:basedOn w:val="a0"/>
    <w:link w:val="a3"/>
    <w:uiPriority w:val="99"/>
    <w:rsid w:val="00014AFF"/>
    <w:rPr>
      <w:kern w:val="0"/>
      <w:sz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014A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14AFF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014AFF"/>
  </w:style>
  <w:style w:type="paragraph" w:styleId="a8">
    <w:name w:val="header"/>
    <w:basedOn w:val="a"/>
    <w:link w:val="a9"/>
    <w:uiPriority w:val="99"/>
    <w:unhideWhenUsed/>
    <w:rsid w:val="0027245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2724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スタイル1"/>
    <w:uiPriority w:val="99"/>
    <w:rsid w:val="00E20AF1"/>
    <w:pPr>
      <w:numPr>
        <w:numId w:val="1"/>
      </w:numPr>
    </w:pPr>
  </w:style>
  <w:style w:type="paragraph" w:styleId="a3">
    <w:name w:val="footer"/>
    <w:basedOn w:val="a"/>
    <w:link w:val="a4"/>
    <w:uiPriority w:val="99"/>
    <w:unhideWhenUsed/>
    <w:rsid w:val="00014AFF"/>
    <w:pPr>
      <w:widowControl/>
      <w:tabs>
        <w:tab w:val="center" w:pos="4252"/>
        <w:tab w:val="right" w:pos="8504"/>
      </w:tabs>
      <w:snapToGrid w:val="0"/>
      <w:spacing w:after="160" w:line="259" w:lineRule="auto"/>
      <w:jc w:val="left"/>
    </w:pPr>
    <w:rPr>
      <w:kern w:val="0"/>
      <w:sz w:val="22"/>
      <w:lang w:eastAsia="en-US"/>
    </w:rPr>
  </w:style>
  <w:style w:type="character" w:customStyle="1" w:styleId="a4">
    <w:name w:val="フッター (文字)"/>
    <w:basedOn w:val="a0"/>
    <w:link w:val="a3"/>
    <w:uiPriority w:val="99"/>
    <w:rsid w:val="00014AFF"/>
    <w:rPr>
      <w:kern w:val="0"/>
      <w:sz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014A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14AFF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014AFF"/>
  </w:style>
  <w:style w:type="paragraph" w:styleId="a8">
    <w:name w:val="header"/>
    <w:basedOn w:val="a"/>
    <w:link w:val="a9"/>
    <w:uiPriority w:val="99"/>
    <w:unhideWhenUsed/>
    <w:rsid w:val="0027245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2724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609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UNITCOM PC</Company>
  <LinksUpToDate>false</LinksUpToDate>
  <CharactersWithSpaces>4077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ikyoku01</dc:creator>
  <cp:lastModifiedBy>ikyoku01</cp:lastModifiedBy>
  <cp:revision>5</cp:revision>
  <dcterms:created xsi:type="dcterms:W3CDTF">2020-09-07T05:14:00Z</dcterms:created>
  <dcterms:modified xsi:type="dcterms:W3CDTF">2020-12-02T11:23:00Z</dcterms:modified>
</cp:coreProperties>
</file>