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99C" w:rsidRDefault="0003599C" w:rsidP="0003599C">
      <w:pPr>
        <w:pStyle w:val="NormalWeb"/>
        <w:spacing w:before="0" w:beforeAutospacing="0" w:line="480" w:lineRule="auto"/>
        <w:contextualSpacing/>
        <w:rPr>
          <w:rFonts w:cstheme="minorBidi"/>
          <w:kern w:val="2"/>
          <w:lang w:eastAsia="zh-CN"/>
        </w:rPr>
      </w:pPr>
      <w:bookmarkStart w:id="0" w:name="OLE_LINK10"/>
      <w:bookmarkStart w:id="1" w:name="_GoBack"/>
      <w:bookmarkEnd w:id="1"/>
      <w:r>
        <w:rPr>
          <w:rFonts w:cstheme="minorBidi"/>
          <w:kern w:val="2"/>
          <w:lang w:eastAsia="zh-CN"/>
        </w:rPr>
        <w:t>Appendix A</w:t>
      </w:r>
      <w:bookmarkEnd w:id="0"/>
      <w:r>
        <w:rPr>
          <w:rFonts w:cstheme="minorBidi" w:hint="eastAsia"/>
          <w:kern w:val="2"/>
          <w:lang w:eastAsia="zh-CN"/>
        </w:rPr>
        <w:t xml:space="preserve"> </w:t>
      </w:r>
    </w:p>
    <w:p w:rsidR="0003599C" w:rsidRDefault="0003599C" w:rsidP="0003599C">
      <w:pPr>
        <w:pStyle w:val="NormalWeb"/>
        <w:spacing w:before="0" w:beforeAutospacing="0" w:line="480" w:lineRule="auto"/>
        <w:ind w:firstLine="720"/>
        <w:contextualSpacing/>
        <w:jc w:val="both"/>
      </w:pPr>
      <w:r>
        <w:rPr>
          <w:rFonts w:hint="eastAsia"/>
        </w:rPr>
        <w:t>The averaged interbrain PLV</w:t>
      </w:r>
      <w:r>
        <w:t>s</w:t>
      </w:r>
      <w:r>
        <w:rPr>
          <w:rFonts w:hint="eastAsia"/>
        </w:rPr>
        <w:t xml:space="preserve"> in the following </w:t>
      </w:r>
      <w:r>
        <w:t>four</w:t>
      </w:r>
      <w:r>
        <w:rPr>
          <w:rFonts w:hint="eastAsia"/>
        </w:rPr>
        <w:t xml:space="preserve"> frequency bands w</w:t>
      </w:r>
      <w:r>
        <w:t>ere</w:t>
      </w:r>
      <w:r>
        <w:rPr>
          <w:rFonts w:hint="eastAsia"/>
        </w:rPr>
        <w:t xml:space="preserve"> calculated for further statistical analysis: delta (1-3 Hz), theta (4-7 Hz), alpha (8-13 Hz), beta (14-30 Hz)</w:t>
      </w:r>
      <w:r>
        <w:rPr>
          <w:rFonts w:hint="eastAsia"/>
          <w:lang w:eastAsia="zh-CN"/>
        </w:rPr>
        <w:t>.</w:t>
      </w:r>
      <w:r>
        <w:rPr>
          <w:lang w:eastAsia="zh-CN"/>
        </w:rPr>
        <w:t xml:space="preserve"> </w:t>
      </w:r>
      <w:r>
        <w:t>Results of the 2*</w:t>
      </w:r>
      <w:r>
        <w:rPr>
          <w:rFonts w:hint="eastAsia"/>
          <w:lang w:eastAsia="zh-CN"/>
        </w:rPr>
        <w:t>3</w:t>
      </w:r>
      <w:r>
        <w:rPr>
          <w:lang w:eastAsia="zh-CN"/>
        </w:rPr>
        <w:t>*3</w:t>
      </w:r>
      <w:r>
        <w:t xml:space="preserve"> ANOVA on the interbrain phase synchrony in the delta, theta, alpha, beta bands were showed </w:t>
      </w:r>
      <w:r>
        <w:rPr>
          <w:lang w:eastAsia="zh-CN"/>
        </w:rPr>
        <w:t xml:space="preserve">in </w:t>
      </w:r>
      <w:r>
        <w:t>Table A.1 and Table A.2. Of</w:t>
      </w:r>
      <w:r>
        <w:rPr>
          <w:lang w:eastAsia="zh-CN"/>
        </w:rPr>
        <w:t xml:space="preserve"> the interaction about group, o</w:t>
      </w:r>
      <w:r>
        <w:t>nly an Electrode*Valence</w:t>
      </w:r>
      <w:r>
        <w:rPr>
          <w:rFonts w:hint="eastAsia"/>
        </w:rPr>
        <w:t>*</w:t>
      </w:r>
      <w:r>
        <w:t xml:space="preserve"> </w:t>
      </w:r>
      <w:r>
        <w:rPr>
          <w:rFonts w:hint="eastAsia"/>
        </w:rPr>
        <w:t>Group</w:t>
      </w:r>
      <w:r>
        <w:t xml:space="preserve"> interaction in </w:t>
      </w:r>
      <w:bookmarkStart w:id="2" w:name="_Hlk86094857"/>
      <w:r>
        <w:t>delta</w:t>
      </w:r>
      <w:bookmarkEnd w:id="2"/>
      <w:r>
        <w:t xml:space="preserve"> </w:t>
      </w:r>
      <w:r>
        <w:rPr>
          <w:color w:val="000000" w:themeColor="text1"/>
        </w:rPr>
        <w:t>was significant</w:t>
      </w:r>
      <w:r>
        <w:t>, but post-hoc analysis did not find any significant difference. Therefore, t</w:t>
      </w:r>
      <w:r>
        <w:rPr>
          <w:rFonts w:hint="eastAsia"/>
        </w:rPr>
        <w:t>he averaged interbrain PLV</w:t>
      </w:r>
      <w:r>
        <w:t>s</w:t>
      </w:r>
      <w:r>
        <w:rPr>
          <w:rFonts w:hint="eastAsia"/>
        </w:rPr>
        <w:t xml:space="preserve"> i</w:t>
      </w:r>
      <w:r>
        <w:t>n</w:t>
      </w:r>
      <w:r>
        <w:rPr>
          <w:rFonts w:hint="eastAsia"/>
        </w:rPr>
        <w:t xml:space="preserve"> </w:t>
      </w:r>
      <w:r>
        <w:t>four</w:t>
      </w:r>
      <w:r>
        <w:rPr>
          <w:rFonts w:hint="eastAsia"/>
        </w:rPr>
        <w:t xml:space="preserve"> frequency bands w</w:t>
      </w:r>
      <w:r>
        <w:t>ere not included in the main text.</w:t>
      </w:r>
    </w:p>
    <w:p w:rsidR="0003599C" w:rsidRDefault="0003599C" w:rsidP="0003599C">
      <w:pPr>
        <w:spacing w:line="480" w:lineRule="auto"/>
        <w:rPr>
          <w:rFonts w:ascii="Times New Roman" w:hAnsi="Times New Roman"/>
          <w:sz w:val="24"/>
          <w:szCs w:val="24"/>
        </w:rPr>
      </w:pPr>
      <w:bookmarkStart w:id="3" w:name="OLE_LINK34"/>
      <w:r>
        <w:rPr>
          <w:rFonts w:ascii="Times New Roman" w:hAnsi="Times New Roman"/>
          <w:sz w:val="24"/>
          <w:szCs w:val="24"/>
        </w:rPr>
        <w:br w:type="page"/>
      </w:r>
    </w:p>
    <w:bookmarkEnd w:id="3"/>
    <w:p w:rsidR="0003599C" w:rsidRDefault="0003599C" w:rsidP="0003599C">
      <w:pPr>
        <w:spacing w:line="480" w:lineRule="auto"/>
        <w:rPr>
          <w:rFonts w:ascii="Times New Roman" w:hAnsi="Times New Roman"/>
          <w:sz w:val="24"/>
          <w:szCs w:val="24"/>
        </w:rPr>
      </w:pPr>
      <w:r>
        <w:rPr>
          <w:rFonts w:ascii="Times New Roman" w:hAnsi="Times New Roman"/>
          <w:sz w:val="24"/>
          <w:szCs w:val="24"/>
        </w:rPr>
        <w:lastRenderedPageBreak/>
        <w:t>Table A.1</w:t>
      </w:r>
    </w:p>
    <w:p w:rsidR="0003599C" w:rsidRDefault="0003599C" w:rsidP="0003599C">
      <w:pPr>
        <w:spacing w:line="480" w:lineRule="auto"/>
        <w:rPr>
          <w:rFonts w:ascii="Times New Roman" w:hAnsi="Times New Roman"/>
          <w:color w:val="000000" w:themeColor="text1"/>
          <w:sz w:val="24"/>
          <w:szCs w:val="24"/>
        </w:rPr>
      </w:pPr>
      <w:r>
        <w:rPr>
          <w:rFonts w:ascii="Times New Roman" w:hAnsi="Times New Roman"/>
          <w:i/>
          <w:iCs/>
          <w:color w:val="000000" w:themeColor="text1"/>
          <w:sz w:val="24"/>
          <w:szCs w:val="24"/>
        </w:rPr>
        <w:t xml:space="preserve">Results of the </w:t>
      </w:r>
      <w:bookmarkStart w:id="4" w:name="_Hlk86054450"/>
      <w:r>
        <w:rPr>
          <w:rFonts w:ascii="Times New Roman" w:hAnsi="Times New Roman"/>
          <w:i/>
          <w:iCs/>
          <w:color w:val="000000" w:themeColor="text1"/>
          <w:sz w:val="24"/>
          <w:szCs w:val="24"/>
        </w:rPr>
        <w:t>ANOVA on the Delta, Theta, Alpha, Beta Interbrain Phase-locking-value (PLV)</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390"/>
        <w:gridCol w:w="2596"/>
        <w:gridCol w:w="1533"/>
        <w:gridCol w:w="1891"/>
        <w:gridCol w:w="1373"/>
        <w:gridCol w:w="1298"/>
      </w:tblGrid>
      <w:tr w:rsidR="0003599C" w:rsidTr="00F92F11">
        <w:trPr>
          <w:jc w:val="center"/>
        </w:trPr>
        <w:tc>
          <w:tcPr>
            <w:tcW w:w="689"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bookmarkStart w:id="5" w:name="OLE_LINK36"/>
            <w:bookmarkEnd w:id="4"/>
            <w:r>
              <w:rPr>
                <w:rFonts w:ascii="Times New Roman" w:hAnsi="Times New Roman"/>
                <w:color w:val="000000" w:themeColor="text1"/>
                <w:sz w:val="18"/>
                <w:szCs w:val="18"/>
              </w:rPr>
              <w:t>PLV</w:t>
            </w:r>
          </w:p>
        </w:tc>
        <w:tc>
          <w:tcPr>
            <w:tcW w:w="1287"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Factor</w:t>
            </w:r>
          </w:p>
        </w:tc>
        <w:tc>
          <w:tcPr>
            <w:tcW w:w="760"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i/>
                <w:iCs/>
                <w:color w:val="000000" w:themeColor="text1"/>
                <w:sz w:val="18"/>
                <w:szCs w:val="18"/>
              </w:rPr>
            </w:pPr>
            <w:proofErr w:type="spellStart"/>
            <w:r>
              <w:rPr>
                <w:rFonts w:ascii="Times New Roman" w:hAnsi="Times New Roman"/>
                <w:i/>
                <w:iCs/>
                <w:color w:val="000000" w:themeColor="text1"/>
                <w:sz w:val="18"/>
                <w:szCs w:val="18"/>
              </w:rPr>
              <w:t>df</w:t>
            </w:r>
            <w:proofErr w:type="spellEnd"/>
          </w:p>
        </w:tc>
        <w:tc>
          <w:tcPr>
            <w:tcW w:w="938"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i/>
                <w:iCs/>
                <w:color w:val="000000" w:themeColor="text1"/>
                <w:sz w:val="18"/>
                <w:szCs w:val="18"/>
              </w:rPr>
            </w:pPr>
            <w:r>
              <w:rPr>
                <w:rFonts w:ascii="Times New Roman" w:hAnsi="Times New Roman"/>
                <w:i/>
                <w:iCs/>
                <w:color w:val="000000" w:themeColor="text1"/>
                <w:sz w:val="18"/>
                <w:szCs w:val="18"/>
              </w:rPr>
              <w:t>F</w:t>
            </w:r>
          </w:p>
        </w:tc>
        <w:tc>
          <w:tcPr>
            <w:tcW w:w="681"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i/>
                <w:iCs/>
                <w:color w:val="000000" w:themeColor="text1"/>
                <w:sz w:val="18"/>
                <w:szCs w:val="18"/>
              </w:rPr>
            </w:pPr>
            <w:r>
              <w:rPr>
                <w:rFonts w:ascii="Times New Roman" w:hAnsi="Times New Roman" w:hint="eastAsia"/>
                <w:i/>
                <w:iCs/>
                <w:color w:val="000000" w:themeColor="text1"/>
                <w:sz w:val="18"/>
                <w:szCs w:val="18"/>
              </w:rPr>
              <w:t>p</w:t>
            </w:r>
          </w:p>
        </w:tc>
        <w:tc>
          <w:tcPr>
            <w:tcW w:w="644" w:type="pct"/>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i/>
                <w:iCs/>
                <w:color w:val="000000" w:themeColor="text1"/>
                <w:sz w:val="18"/>
                <w:szCs w:val="18"/>
              </w:rPr>
            </w:pPr>
            <w:r>
              <w:rPr>
                <w:rFonts w:ascii="Times New Roman" w:hAnsi="Times New Roman" w:hint="eastAsia"/>
                <w:i/>
                <w:iCs/>
                <w:color w:val="000000" w:themeColor="text1"/>
                <w:sz w:val="18"/>
                <w:szCs w:val="18"/>
              </w:rPr>
              <w:t>P</w:t>
            </w:r>
            <w:r>
              <w:rPr>
                <w:rFonts w:ascii="Times New Roman" w:hAnsi="Times New Roman"/>
                <w:i/>
                <w:iCs/>
                <w:color w:val="000000" w:themeColor="text1"/>
                <w:sz w:val="18"/>
                <w:szCs w:val="18"/>
              </w:rPr>
              <w:t>artial η</w:t>
            </w:r>
            <w:r>
              <w:rPr>
                <w:rFonts w:ascii="Times New Roman" w:hAnsi="Times New Roman"/>
                <w:i/>
                <w:iCs/>
                <w:color w:val="000000" w:themeColor="text1"/>
                <w:sz w:val="18"/>
                <w:szCs w:val="18"/>
                <w:vertAlign w:val="superscript"/>
              </w:rPr>
              <w:t>2</w:t>
            </w:r>
          </w:p>
        </w:tc>
      </w:tr>
      <w:tr w:rsidR="0003599C" w:rsidTr="00F92F11">
        <w:trPr>
          <w:jc w:val="center"/>
        </w:trPr>
        <w:tc>
          <w:tcPr>
            <w:tcW w:w="689" w:type="pct"/>
            <w:vMerge w:val="restart"/>
            <w:tcBorders>
              <w:top w:val="single" w:sz="4" w:space="0" w:color="auto"/>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bookmarkStart w:id="6" w:name="_Hlk86055871"/>
            <w:bookmarkStart w:id="7" w:name="_Hlk86055895"/>
            <w:r>
              <w:rPr>
                <w:rFonts w:ascii="Times New Roman" w:hAnsi="Times New Roman"/>
                <w:color w:val="000000" w:themeColor="text1"/>
                <w:sz w:val="18"/>
                <w:szCs w:val="18"/>
              </w:rPr>
              <w:t>Delta</w:t>
            </w:r>
          </w:p>
        </w:tc>
        <w:tc>
          <w:tcPr>
            <w:tcW w:w="1287" w:type="pct"/>
            <w:tcBorders>
              <w:top w:val="single" w:sz="4" w:space="0" w:color="auto"/>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w:t>
            </w:r>
          </w:p>
        </w:tc>
        <w:tc>
          <w:tcPr>
            <w:tcW w:w="760" w:type="pct"/>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r>
              <w:rPr>
                <w:rFonts w:ascii="Times New Roman" w:hAnsi="Times New Roman"/>
                <w:color w:val="000000" w:themeColor="text1"/>
                <w:sz w:val="18"/>
                <w:szCs w:val="18"/>
              </w:rPr>
              <w:t>.56</w:t>
            </w:r>
          </w:p>
        </w:tc>
        <w:tc>
          <w:tcPr>
            <w:tcW w:w="681" w:type="pct"/>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101</w:t>
            </w:r>
          </w:p>
        </w:tc>
        <w:tc>
          <w:tcPr>
            <w:tcW w:w="644" w:type="pct"/>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09</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02</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964</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00</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Valence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2.56</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.087</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.09</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sz w:val="18"/>
                <w:szCs w:val="18"/>
              </w:rPr>
              <w:t xml:space="preserve">Valence </w:t>
            </w:r>
            <w:r>
              <w:rPr>
                <w:rFonts w:hint="eastAsia"/>
                <w:color w:val="000000" w:themeColor="text1"/>
                <w:sz w:val="18"/>
                <w:szCs w:val="18"/>
              </w:rPr>
              <w:t>*</w:t>
            </w:r>
            <w:r>
              <w:rPr>
                <w:color w:val="000000" w:themeColor="text1"/>
                <w:sz w:val="18"/>
                <w:szCs w:val="18"/>
              </w:rPr>
              <w:t xml:space="preserve"> </w:t>
            </w:r>
            <w:r>
              <w:rPr>
                <w:rFonts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.30</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.739</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.01</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 xml:space="preserve">Electrode*Valence </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.22</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.927</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.01</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bookmarkStart w:id="8" w:name="_Hlk86094867"/>
            <w:r>
              <w:rPr>
                <w:rFonts w:ascii="Times New Roman" w:hAnsi="Times New Roman"/>
                <w:color w:val="000000" w:themeColor="text1"/>
                <w:sz w:val="18"/>
                <w:szCs w:val="18"/>
              </w:rPr>
              <w:t>Electrode*Valence</w:t>
            </w:r>
            <w:r>
              <w:rPr>
                <w:rFonts w:ascii="Times New Roman" w:hAnsi="Times New Roman" w:hint="eastAsia"/>
                <w:color w:val="000000" w:themeColor="text1"/>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rPr>
              <w:t>Group</w:t>
            </w:r>
            <w:bookmarkEnd w:id="8"/>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4</w:t>
            </w:r>
            <w:r>
              <w:rPr>
                <w:rFonts w:ascii="Times New Roman" w:hAnsi="Times New Roman"/>
                <w:color w:val="000000" w:themeColor="text1"/>
                <w:sz w:val="18"/>
                <w:szCs w:val="18"/>
              </w:rPr>
              <w:t>,108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r>
              <w:rPr>
                <w:rFonts w:ascii="Times New Roman" w:hAnsi="Times New Roman"/>
                <w:color w:val="000000" w:themeColor="text1"/>
                <w:sz w:val="18"/>
                <w:szCs w:val="18"/>
              </w:rPr>
              <w:t>.60</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040</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09</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,27</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01</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929</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00</w:t>
            </w:r>
          </w:p>
        </w:tc>
      </w:tr>
      <w:bookmarkEnd w:id="5"/>
      <w:bookmarkEnd w:id="6"/>
      <w:bookmarkEnd w:id="7"/>
      <w:tr w:rsidR="0003599C" w:rsidTr="00F92F11">
        <w:trPr>
          <w:jc w:val="center"/>
        </w:trPr>
        <w:tc>
          <w:tcPr>
            <w:tcW w:w="689" w:type="pct"/>
            <w:vMerge w:val="restar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Theta</w:t>
            </w: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E</w:t>
            </w:r>
            <w:r>
              <w:rPr>
                <w:rFonts w:ascii="Times New Roman" w:hAnsi="Times New Roman"/>
                <w:color w:val="000000" w:themeColor="text1"/>
                <w:sz w:val="18"/>
                <w:szCs w:val="18"/>
              </w:rPr>
              <w:t>lectrode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.39</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682</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01</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E</w:t>
            </w:r>
            <w:r>
              <w:rPr>
                <w:rFonts w:ascii="Times New Roman" w:hAnsi="Times New Roman"/>
                <w:color w:val="000000" w:themeColor="text1"/>
                <w:sz w:val="18"/>
                <w:szCs w:val="18"/>
              </w:rPr>
              <w:t>lectrode*Group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93</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402</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03</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Valence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.64</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.530</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.02</w:t>
            </w:r>
          </w:p>
        </w:tc>
      </w:tr>
      <w:tr w:rsidR="0003599C" w:rsidTr="00F92F11">
        <w:trPr>
          <w:jc w:val="center"/>
        </w:trPr>
        <w:tc>
          <w:tcPr>
            <w:tcW w:w="689" w:type="pct"/>
            <w:vMerge/>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 xml:space="preserve">Valence </w:t>
            </w:r>
            <w:r>
              <w:rPr>
                <w:rFonts w:ascii="Times New Roman" w:hAnsi="Times New Roman" w:hint="eastAsia"/>
                <w:color w:val="000000" w:themeColor="text1"/>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.02</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.981</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.00</w:t>
            </w:r>
          </w:p>
        </w:tc>
      </w:tr>
      <w:tr w:rsidR="0003599C" w:rsidTr="00F92F11">
        <w:trPr>
          <w:jc w:val="center"/>
        </w:trPr>
        <w:tc>
          <w:tcPr>
            <w:tcW w:w="689" w:type="pct"/>
            <w:vMerge/>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Electrode*Valence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.43</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.789</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.02</w:t>
            </w:r>
          </w:p>
        </w:tc>
      </w:tr>
      <w:tr w:rsidR="0003599C" w:rsidTr="00F92F11">
        <w:trPr>
          <w:jc w:val="center"/>
        </w:trPr>
        <w:tc>
          <w:tcPr>
            <w:tcW w:w="689" w:type="pct"/>
            <w:vMerge/>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Electrode*Valence</w:t>
            </w:r>
            <w:r>
              <w:rPr>
                <w:rFonts w:ascii="Times New Roman" w:hAnsi="Times New Roman" w:hint="eastAsia"/>
                <w:color w:val="000000" w:themeColor="text1"/>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4</w:t>
            </w:r>
            <w:r>
              <w:rPr>
                <w:rFonts w:ascii="Times New Roman" w:hAnsi="Times New Roman"/>
                <w:color w:val="000000" w:themeColor="text1"/>
                <w:sz w:val="18"/>
                <w:szCs w:val="18"/>
              </w:rPr>
              <w:t>,108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.89</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118</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07</w:t>
            </w:r>
          </w:p>
        </w:tc>
      </w:tr>
      <w:tr w:rsidR="0003599C" w:rsidTr="00F92F11">
        <w:trPr>
          <w:jc w:val="center"/>
        </w:trPr>
        <w:tc>
          <w:tcPr>
            <w:tcW w:w="689" w:type="pct"/>
            <w:vMerge/>
            <w:tcBorders>
              <w:top w:val="single" w:sz="4" w:space="0" w:color="auto"/>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,27</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096</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760</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00</w:t>
            </w:r>
          </w:p>
        </w:tc>
      </w:tr>
      <w:tr w:rsidR="0003599C" w:rsidTr="00F92F11">
        <w:trPr>
          <w:jc w:val="center"/>
        </w:trPr>
        <w:tc>
          <w:tcPr>
            <w:tcW w:w="689" w:type="pct"/>
            <w:vMerge w:val="restar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bookmarkStart w:id="9" w:name="_Hlk86071113"/>
            <w:r>
              <w:rPr>
                <w:rFonts w:ascii="Times New Roman" w:hAnsi="Times New Roman"/>
                <w:color w:val="000000" w:themeColor="text1"/>
                <w:sz w:val="18"/>
                <w:szCs w:val="18"/>
              </w:rPr>
              <w:t>Alpha</w:t>
            </w: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4.51</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015</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14</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86</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429</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03</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Valence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.93</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.156</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.07</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sz w:val="18"/>
                <w:szCs w:val="18"/>
              </w:rPr>
              <w:t xml:space="preserve">Valence </w:t>
            </w:r>
            <w:r>
              <w:rPr>
                <w:rFonts w:hint="eastAsia"/>
                <w:color w:val="000000" w:themeColor="text1"/>
                <w:sz w:val="18"/>
                <w:szCs w:val="18"/>
              </w:rPr>
              <w:t>*</w:t>
            </w:r>
            <w:r>
              <w:rPr>
                <w:color w:val="000000" w:themeColor="text1"/>
                <w:sz w:val="18"/>
                <w:szCs w:val="18"/>
              </w:rPr>
              <w:t xml:space="preserve"> </w:t>
            </w:r>
            <w:r>
              <w:rPr>
                <w:rFonts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.88</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.422</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.03</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 xml:space="preserve">Electrode*Valence </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.38</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.823</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.01</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Electrode*Valence</w:t>
            </w:r>
            <w:r>
              <w:rPr>
                <w:rFonts w:ascii="Times New Roman" w:hAnsi="Times New Roman" w:hint="eastAsia"/>
                <w:color w:val="000000" w:themeColor="text1"/>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4</w:t>
            </w:r>
            <w:r>
              <w:rPr>
                <w:rFonts w:ascii="Times New Roman" w:hAnsi="Times New Roman"/>
                <w:color w:val="000000" w:themeColor="text1"/>
                <w:sz w:val="18"/>
                <w:szCs w:val="18"/>
              </w:rPr>
              <w:t>,108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.74</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147</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06</w:t>
            </w:r>
          </w:p>
        </w:tc>
      </w:tr>
      <w:tr w:rsidR="0003599C" w:rsidTr="00F92F11">
        <w:trPr>
          <w:jc w:val="center"/>
        </w:trPr>
        <w:tc>
          <w:tcPr>
            <w:tcW w:w="689" w:type="pct"/>
            <w:vMerge/>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,27</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02</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897</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00</w:t>
            </w:r>
          </w:p>
        </w:tc>
      </w:tr>
      <w:bookmarkEnd w:id="9"/>
      <w:tr w:rsidR="0003599C" w:rsidTr="00F92F11">
        <w:trPr>
          <w:jc w:val="center"/>
        </w:trPr>
        <w:tc>
          <w:tcPr>
            <w:tcW w:w="689" w:type="pct"/>
            <w:vMerge w:val="restart"/>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B</w:t>
            </w:r>
            <w:r>
              <w:rPr>
                <w:rFonts w:ascii="Times New Roman" w:hAnsi="Times New Roman"/>
                <w:color w:val="000000" w:themeColor="text1"/>
                <w:sz w:val="18"/>
                <w:szCs w:val="18"/>
              </w:rPr>
              <w:t>eta</w:t>
            </w: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2.59</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085</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09</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kern w:val="2"/>
                <w:sz w:val="18"/>
                <w:szCs w:val="18"/>
                <w:lang w:eastAsia="zh-CN"/>
              </w:rPr>
            </w:pPr>
            <w:r>
              <w:rPr>
                <w:rFonts w:hint="eastAsia"/>
                <w:color w:val="000000" w:themeColor="text1"/>
                <w:kern w:val="2"/>
                <w:sz w:val="18"/>
                <w:szCs w:val="18"/>
                <w:lang w:eastAsia="zh-CN"/>
              </w:rPr>
              <w:t>E</w:t>
            </w:r>
            <w:r>
              <w:rPr>
                <w:color w:val="000000" w:themeColor="text1"/>
                <w:kern w:val="2"/>
                <w:sz w:val="18"/>
                <w:szCs w:val="18"/>
                <w:lang w:eastAsia="zh-CN"/>
              </w:rPr>
              <w:t>lectrode*Group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.58</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564</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02</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Valence</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w:t>
            </w:r>
            <w:r>
              <w:rPr>
                <w:rFonts w:ascii="Times New Roman" w:hAnsi="Times New Roman" w:hint="eastAsia"/>
                <w:color w:val="000000" w:themeColor="text1"/>
                <w:sz w:val="18"/>
                <w:szCs w:val="18"/>
              </w:rPr>
              <w:t>,</w:t>
            </w:r>
            <w:r>
              <w:rPr>
                <w:rFonts w:ascii="Times New Roman" w:hAnsi="Times New Roman"/>
                <w:color w:val="000000" w:themeColor="text1"/>
                <w:sz w:val="18"/>
                <w:szCs w:val="18"/>
              </w:rPr>
              <w:t>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.51</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.606</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.02</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sz w:val="18"/>
                <w:szCs w:val="18"/>
              </w:rPr>
              <w:t xml:space="preserve">Valence </w:t>
            </w:r>
            <w:r>
              <w:rPr>
                <w:rFonts w:hint="eastAsia"/>
                <w:color w:val="000000" w:themeColor="text1"/>
                <w:sz w:val="18"/>
                <w:szCs w:val="18"/>
              </w:rPr>
              <w:t>*</w:t>
            </w:r>
            <w:r>
              <w:rPr>
                <w:color w:val="000000" w:themeColor="text1"/>
                <w:sz w:val="18"/>
                <w:szCs w:val="18"/>
              </w:rPr>
              <w:t xml:space="preserve"> </w:t>
            </w:r>
            <w:r>
              <w:rPr>
                <w:rFonts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2,54</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.88</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.42</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.03</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 xml:space="preserve">Electrode*Valence </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4,108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.06</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.380</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.04</w:t>
            </w:r>
          </w:p>
        </w:tc>
      </w:tr>
      <w:tr w:rsidR="0003599C" w:rsidTr="00F92F11">
        <w:trPr>
          <w:jc w:val="center"/>
        </w:trPr>
        <w:tc>
          <w:tcPr>
            <w:tcW w:w="689" w:type="pct"/>
            <w:vMerge/>
            <w:tcBorders>
              <w:top w:val="nil"/>
              <w:bottom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Electrode*Valence</w:t>
            </w:r>
            <w:r>
              <w:rPr>
                <w:rFonts w:ascii="Times New Roman" w:hAnsi="Times New Roman" w:hint="eastAsia"/>
                <w:color w:val="000000" w:themeColor="text1"/>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rPr>
              <w:t>Group</w:t>
            </w:r>
          </w:p>
        </w:tc>
        <w:tc>
          <w:tcPr>
            <w:tcW w:w="760"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4</w:t>
            </w:r>
            <w:r>
              <w:rPr>
                <w:rFonts w:ascii="Times New Roman" w:hAnsi="Times New Roman"/>
                <w:color w:val="000000" w:themeColor="text1"/>
                <w:sz w:val="18"/>
                <w:szCs w:val="18"/>
              </w:rPr>
              <w:t>,108</w:t>
            </w:r>
          </w:p>
        </w:tc>
        <w:tc>
          <w:tcPr>
            <w:tcW w:w="938"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.34</w:t>
            </w:r>
          </w:p>
        </w:tc>
        <w:tc>
          <w:tcPr>
            <w:tcW w:w="681"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262</w:t>
            </w:r>
          </w:p>
        </w:tc>
        <w:tc>
          <w:tcPr>
            <w:tcW w:w="644" w:type="pct"/>
            <w:tcBorders>
              <w:top w:val="nil"/>
              <w:bottom w:val="nil"/>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05</w:t>
            </w:r>
          </w:p>
        </w:tc>
      </w:tr>
      <w:tr w:rsidR="0003599C" w:rsidTr="00F92F11">
        <w:trPr>
          <w:jc w:val="center"/>
        </w:trPr>
        <w:tc>
          <w:tcPr>
            <w:tcW w:w="689" w:type="pct"/>
            <w:vMerge/>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p>
        </w:tc>
        <w:tc>
          <w:tcPr>
            <w:tcW w:w="1287" w:type="pct"/>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G</w:t>
            </w:r>
            <w:r>
              <w:rPr>
                <w:rFonts w:ascii="Times New Roman" w:hAnsi="Times New Roman"/>
                <w:color w:val="000000" w:themeColor="text1"/>
                <w:sz w:val="18"/>
                <w:szCs w:val="18"/>
              </w:rPr>
              <w:t>roup</w:t>
            </w:r>
          </w:p>
        </w:tc>
        <w:tc>
          <w:tcPr>
            <w:tcW w:w="760" w:type="pct"/>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w:t>
            </w:r>
            <w:r>
              <w:rPr>
                <w:rFonts w:ascii="Times New Roman" w:hAnsi="Times New Roman"/>
                <w:color w:val="000000" w:themeColor="text1"/>
                <w:sz w:val="18"/>
                <w:szCs w:val="18"/>
              </w:rPr>
              <w:t>,27</w:t>
            </w:r>
          </w:p>
        </w:tc>
        <w:tc>
          <w:tcPr>
            <w:tcW w:w="938" w:type="pct"/>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89</w:t>
            </w:r>
          </w:p>
        </w:tc>
        <w:tc>
          <w:tcPr>
            <w:tcW w:w="681" w:type="pct"/>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354</w:t>
            </w:r>
          </w:p>
        </w:tc>
        <w:tc>
          <w:tcPr>
            <w:tcW w:w="644" w:type="pct"/>
            <w:tcBorders>
              <w:top w:val="nil"/>
              <w:bottom w:val="single" w:sz="12"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w:t>
            </w:r>
            <w:r>
              <w:rPr>
                <w:rFonts w:ascii="Times New Roman" w:hAnsi="Times New Roman"/>
                <w:color w:val="000000" w:themeColor="text1"/>
                <w:sz w:val="18"/>
                <w:szCs w:val="18"/>
              </w:rPr>
              <w:t>03</w:t>
            </w:r>
          </w:p>
        </w:tc>
      </w:tr>
    </w:tbl>
    <w:p w:rsidR="0003599C" w:rsidRDefault="0003599C" w:rsidP="0003599C">
      <w:pPr>
        <w:spacing w:line="480" w:lineRule="auto"/>
        <w:rPr>
          <w:color w:val="000000" w:themeColor="text1"/>
        </w:rPr>
      </w:pPr>
    </w:p>
    <w:p w:rsidR="0003599C" w:rsidRDefault="0003599C" w:rsidP="0003599C">
      <w:pPr>
        <w:spacing w:line="480" w:lineRule="auto"/>
        <w:rPr>
          <w:rFonts w:ascii="Times New Roman" w:hAnsi="Times New Roman"/>
          <w:color w:val="000000" w:themeColor="text1"/>
          <w:sz w:val="24"/>
          <w:szCs w:val="24"/>
        </w:rPr>
      </w:pPr>
      <w:r>
        <w:rPr>
          <w:rFonts w:ascii="Times New Roman" w:hAnsi="Times New Roman"/>
          <w:color w:val="000000" w:themeColor="text1"/>
          <w:sz w:val="24"/>
          <w:szCs w:val="24"/>
        </w:rPr>
        <w:lastRenderedPageBreak/>
        <w:br w:type="page"/>
      </w:r>
    </w:p>
    <w:p w:rsidR="0003599C" w:rsidRDefault="0003599C" w:rsidP="0003599C">
      <w:pPr>
        <w:spacing w:line="480" w:lineRule="auto"/>
        <w:rPr>
          <w:rFonts w:ascii="Times New Roman" w:hAnsi="Times New Roman"/>
          <w:sz w:val="24"/>
          <w:szCs w:val="24"/>
        </w:rPr>
      </w:pPr>
      <w:r>
        <w:rPr>
          <w:rFonts w:ascii="Times New Roman" w:hAnsi="Times New Roman"/>
          <w:sz w:val="24"/>
          <w:szCs w:val="24"/>
        </w:rPr>
        <w:lastRenderedPageBreak/>
        <w:t>Table A.2</w:t>
      </w:r>
    </w:p>
    <w:p w:rsidR="0003599C" w:rsidRDefault="0003599C" w:rsidP="0003599C">
      <w:pPr>
        <w:spacing w:line="480" w:lineRule="auto"/>
        <w:rPr>
          <w:rFonts w:ascii="Times New Roman" w:hAnsi="Times New Roman"/>
          <w:sz w:val="24"/>
          <w:szCs w:val="24"/>
        </w:rPr>
      </w:pPr>
      <w:r>
        <w:rPr>
          <w:rFonts w:ascii="Times New Roman" w:hAnsi="Times New Roman"/>
          <w:i/>
          <w:iCs/>
          <w:sz w:val="24"/>
          <w:szCs w:val="24"/>
        </w:rPr>
        <w:t>Delta, Theta, Alpha, Beta Interbrain Phase-locking-value (PLV) between Low and High F</w:t>
      </w:r>
      <w:r>
        <w:rPr>
          <w:rFonts w:ascii="Times New Roman" w:hAnsi="Times New Roman" w:hint="eastAsia"/>
          <w:i/>
          <w:iCs/>
          <w:sz w:val="24"/>
          <w:szCs w:val="24"/>
        </w:rPr>
        <w:t>amily</w:t>
      </w:r>
      <w:r>
        <w:rPr>
          <w:rFonts w:ascii="Times New Roman" w:hAnsi="Times New Roman"/>
          <w:i/>
          <w:iCs/>
          <w:sz w:val="24"/>
          <w:szCs w:val="24"/>
        </w:rPr>
        <w:t xml:space="preserve"> Cohesion Parent-adolescent Dyads in Different Conditions</w:t>
      </w:r>
    </w:p>
    <w:tbl>
      <w:tblPr>
        <w:tblW w:w="8522" w:type="dxa"/>
        <w:jc w:val="center"/>
        <w:tblBorders>
          <w:top w:val="single" w:sz="12" w:space="0" w:color="auto"/>
          <w:bottom w:val="single" w:sz="12" w:space="0" w:color="auto"/>
        </w:tblBorders>
        <w:tblLayout w:type="fixed"/>
        <w:tblLook w:val="04A0" w:firstRow="1" w:lastRow="0" w:firstColumn="1" w:lastColumn="0" w:noHBand="0" w:noVBand="1"/>
      </w:tblPr>
      <w:tblGrid>
        <w:gridCol w:w="657"/>
        <w:gridCol w:w="1275"/>
        <w:gridCol w:w="1329"/>
        <w:gridCol w:w="1417"/>
        <w:gridCol w:w="992"/>
        <w:gridCol w:w="709"/>
        <w:gridCol w:w="709"/>
        <w:gridCol w:w="709"/>
        <w:gridCol w:w="725"/>
      </w:tblGrid>
      <w:tr w:rsidR="0003599C" w:rsidTr="00F92F11">
        <w:trPr>
          <w:jc w:val="center"/>
        </w:trPr>
        <w:tc>
          <w:tcPr>
            <w:tcW w:w="657" w:type="dxa"/>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PLV</w:t>
            </w:r>
          </w:p>
        </w:tc>
        <w:tc>
          <w:tcPr>
            <w:tcW w:w="1275" w:type="dxa"/>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Condition</w:t>
            </w:r>
          </w:p>
        </w:tc>
        <w:tc>
          <w:tcPr>
            <w:tcW w:w="1329" w:type="dxa"/>
            <w:tcBorders>
              <w:bottom w:val="single" w:sz="4" w:space="0" w:color="auto"/>
            </w:tcBorders>
            <w:shd w:val="clear" w:color="auto" w:fill="auto"/>
            <w:vAlign w:val="center"/>
          </w:tcPr>
          <w:p w:rsidR="0003599C" w:rsidRDefault="0003599C" w:rsidP="00F92F11">
            <w:pPr>
              <w:spacing w:line="480" w:lineRule="auto"/>
              <w:jc w:val="center"/>
              <w:rPr>
                <w:rStyle w:val="CommentReference"/>
                <w:rFonts w:ascii="Times New Roman" w:hAnsi="Times New Roman" w:cs="Times New Roman"/>
              </w:rPr>
            </w:pPr>
            <w:r>
              <w:rPr>
                <w:rFonts w:ascii="Times New Roman" w:hAnsi="Times New Roman" w:cs="Times New Roman"/>
                <w:color w:val="000000" w:themeColor="text1"/>
                <w:sz w:val="18"/>
                <w:szCs w:val="18"/>
              </w:rPr>
              <w:t>LFCs</w:t>
            </w:r>
          </w:p>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Pr>
                <w:rFonts w:ascii="Times New Roman" w:hAnsi="Times New Roman" w:cs="Times New Roman"/>
                <w:i/>
                <w:iCs/>
                <w:color w:val="000000" w:themeColor="text1"/>
                <w:sz w:val="18"/>
                <w:szCs w:val="18"/>
              </w:rPr>
              <w:t>M</w:t>
            </w:r>
            <w:r>
              <w:rPr>
                <w:rFonts w:ascii="Times New Roman" w:hAnsi="Times New Roman" w:cs="Times New Roman"/>
                <w:color w:val="000000" w:themeColor="text1"/>
                <w:sz w:val="18"/>
                <w:szCs w:val="18"/>
              </w:rPr>
              <w:t xml:space="preserve"> </w:t>
            </w:r>
            <w:r>
              <w:rPr>
                <w:rFonts w:ascii="Times New Roman" w:hAnsi="Times New Roman" w:cs="Times New Roman" w:hint="eastAsia"/>
                <w:color w:val="000000" w:themeColor="text1"/>
                <w:sz w:val="18"/>
                <w:szCs w:val="18"/>
              </w:rPr>
              <w:t xml:space="preserve">± </w:t>
            </w:r>
            <w:r>
              <w:rPr>
                <w:rFonts w:ascii="Times New Roman" w:hAnsi="Times New Roman" w:cs="Times New Roman"/>
                <w:i/>
                <w:iCs/>
                <w:color w:val="000000" w:themeColor="text1"/>
                <w:sz w:val="18"/>
                <w:szCs w:val="18"/>
              </w:rPr>
              <w:t>SD</w:t>
            </w:r>
            <w:r>
              <w:rPr>
                <w:rFonts w:ascii="Times New Roman" w:hAnsi="Times New Roman" w:cs="Times New Roman"/>
                <w:color w:val="000000" w:themeColor="text1"/>
                <w:sz w:val="18"/>
                <w:szCs w:val="18"/>
              </w:rPr>
              <w:t>)</w:t>
            </w:r>
          </w:p>
        </w:tc>
        <w:tc>
          <w:tcPr>
            <w:tcW w:w="1417" w:type="dxa"/>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HFCs</w:t>
            </w:r>
          </w:p>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Pr>
                <w:rFonts w:ascii="Times New Roman" w:hAnsi="Times New Roman" w:cs="Times New Roman"/>
                <w:i/>
                <w:iCs/>
                <w:color w:val="000000" w:themeColor="text1"/>
                <w:sz w:val="18"/>
                <w:szCs w:val="18"/>
              </w:rPr>
              <w:t>M</w:t>
            </w:r>
            <w:r>
              <w:rPr>
                <w:rFonts w:ascii="Times New Roman" w:hAnsi="Times New Roman" w:cs="Times New Roman" w:hint="eastAsia"/>
                <w:color w:val="000000" w:themeColor="text1"/>
                <w:sz w:val="18"/>
                <w:szCs w:val="18"/>
              </w:rPr>
              <w:t xml:space="preserve"> ± </w:t>
            </w:r>
            <w:r>
              <w:rPr>
                <w:rFonts w:ascii="Times New Roman" w:hAnsi="Times New Roman" w:cs="Times New Roman"/>
                <w:i/>
                <w:iCs/>
                <w:color w:val="000000" w:themeColor="text1"/>
                <w:sz w:val="18"/>
                <w:szCs w:val="18"/>
              </w:rPr>
              <w:t>SD</w:t>
            </w:r>
            <w:r>
              <w:rPr>
                <w:rFonts w:ascii="Times New Roman" w:hAnsi="Times New Roman" w:cs="Times New Roman"/>
                <w:color w:val="000000" w:themeColor="text1"/>
                <w:sz w:val="18"/>
                <w:szCs w:val="18"/>
              </w:rPr>
              <w:t>)</w:t>
            </w:r>
          </w:p>
        </w:tc>
        <w:tc>
          <w:tcPr>
            <w:tcW w:w="992" w:type="dxa"/>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i/>
                <w:iCs/>
                <w:color w:val="000000" w:themeColor="text1"/>
                <w:sz w:val="18"/>
                <w:szCs w:val="18"/>
              </w:rPr>
            </w:pPr>
            <w:r>
              <w:rPr>
                <w:rFonts w:ascii="Times New Roman" w:hAnsi="Times New Roman" w:cs="Times New Roman"/>
                <w:i/>
                <w:iCs/>
                <w:color w:val="000000" w:themeColor="text1"/>
                <w:sz w:val="18"/>
                <w:szCs w:val="18"/>
              </w:rPr>
              <w:t>t</w:t>
            </w:r>
          </w:p>
        </w:tc>
        <w:tc>
          <w:tcPr>
            <w:tcW w:w="709" w:type="dxa"/>
            <w:tcBorders>
              <w:bottom w:val="single" w:sz="4" w:space="0" w:color="auto"/>
            </w:tcBorders>
            <w:shd w:val="clear" w:color="auto" w:fill="auto"/>
            <w:vAlign w:val="center"/>
          </w:tcPr>
          <w:p w:rsidR="0003599C" w:rsidRDefault="0003599C" w:rsidP="00F92F11">
            <w:pPr>
              <w:spacing w:line="480" w:lineRule="auto"/>
              <w:rPr>
                <w:rFonts w:ascii="Times New Roman" w:hAnsi="Times New Roman" w:cs="Times New Roman"/>
                <w:i/>
                <w:iCs/>
                <w:color w:val="000000" w:themeColor="text1"/>
                <w:sz w:val="18"/>
                <w:szCs w:val="18"/>
              </w:rPr>
            </w:pPr>
            <w:r>
              <w:rPr>
                <w:rFonts w:ascii="Times New Roman" w:hAnsi="Times New Roman" w:cs="Times New Roman"/>
                <w:i/>
                <w:iCs/>
                <w:color w:val="000000" w:themeColor="text1"/>
                <w:sz w:val="18"/>
                <w:szCs w:val="18"/>
              </w:rPr>
              <w:t>d</w:t>
            </w:r>
          </w:p>
        </w:tc>
        <w:tc>
          <w:tcPr>
            <w:tcW w:w="709" w:type="dxa"/>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i/>
                <w:iCs/>
                <w:color w:val="000000" w:themeColor="text1"/>
                <w:sz w:val="18"/>
                <w:szCs w:val="18"/>
              </w:rPr>
            </w:pPr>
            <w:r>
              <w:rPr>
                <w:rFonts w:ascii="Times New Roman" w:hAnsi="Times New Roman" w:cs="Times New Roman"/>
                <w:i/>
                <w:iCs/>
                <w:color w:val="000000" w:themeColor="text1"/>
                <w:sz w:val="18"/>
                <w:szCs w:val="18"/>
              </w:rPr>
              <w:t>p</w:t>
            </w:r>
          </w:p>
        </w:tc>
        <w:tc>
          <w:tcPr>
            <w:tcW w:w="1434" w:type="dxa"/>
            <w:gridSpan w:val="2"/>
            <w:tcBorders>
              <w:bottom w:val="single" w:sz="4" w:space="0" w:color="auto"/>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95%CI</w:t>
            </w:r>
          </w:p>
        </w:tc>
      </w:tr>
      <w:tr w:rsidR="0003599C" w:rsidTr="00F92F11">
        <w:trPr>
          <w:jc w:val="center"/>
        </w:trPr>
        <w:tc>
          <w:tcPr>
            <w:tcW w:w="657" w:type="dxa"/>
            <w:vMerge w:val="restart"/>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Delta</w:t>
            </w:r>
          </w:p>
        </w:tc>
        <w:tc>
          <w:tcPr>
            <w:tcW w:w="1275" w:type="dxa"/>
            <w:tcBorders>
              <w:top w:val="single" w:sz="4" w:space="0" w:color="auto"/>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Positive</w:t>
            </w:r>
          </w:p>
        </w:tc>
        <w:tc>
          <w:tcPr>
            <w:tcW w:w="1329"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-.34</w:t>
            </w:r>
          </w:p>
        </w:tc>
        <w:tc>
          <w:tcPr>
            <w:tcW w:w="709"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c>
          <w:tcPr>
            <w:tcW w:w="709"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.734</w:t>
            </w:r>
          </w:p>
        </w:tc>
        <w:tc>
          <w:tcPr>
            <w:tcW w:w="709"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c>
          <w:tcPr>
            <w:tcW w:w="725" w:type="dxa"/>
            <w:tcBorders>
              <w:top w:val="single" w:sz="4" w:space="0" w:color="auto"/>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Negative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.47</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1.19</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.244</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Neutral</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.03</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-.94</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.355</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r w:rsidR="0003599C" w:rsidTr="00F92F11">
        <w:trPr>
          <w:jc w:val="center"/>
        </w:trPr>
        <w:tc>
          <w:tcPr>
            <w:tcW w:w="657" w:type="dxa"/>
            <w:vMerge w:val="restart"/>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Theta</w:t>
            </w:r>
          </w:p>
        </w:tc>
        <w:tc>
          <w:tcPr>
            <w:tcW w:w="1275" w:type="dxa"/>
            <w:tcBorders>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Positive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-1.68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.105</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Negative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-.98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-.63</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.334</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Neutral</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.49</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.21</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.838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r>
      <w:tr w:rsidR="0003599C" w:rsidTr="00F92F11">
        <w:trPr>
          <w:jc w:val="center"/>
        </w:trPr>
        <w:tc>
          <w:tcPr>
            <w:tcW w:w="657" w:type="dxa"/>
            <w:vMerge w:val="restart"/>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Alpha</w:t>
            </w:r>
          </w:p>
        </w:tc>
        <w:tc>
          <w:tcPr>
            <w:tcW w:w="1275" w:type="dxa"/>
            <w:tcBorders>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Positive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.37</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1.38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.180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.03</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pStyle w:val="NormalWeb"/>
              <w:spacing w:before="0" w:beforeAutospacing="0" w:after="0" w:afterAutospacing="0" w:line="480" w:lineRule="auto"/>
              <w:jc w:val="center"/>
              <w:rPr>
                <w:color w:val="000000" w:themeColor="text1"/>
                <w:sz w:val="18"/>
                <w:szCs w:val="18"/>
              </w:rPr>
            </w:pPr>
            <w:r>
              <w:rPr>
                <w:color w:val="000000" w:themeColor="text1"/>
                <w:kern w:val="2"/>
                <w:sz w:val="18"/>
                <w:szCs w:val="18"/>
              </w:rPr>
              <w:t>Negative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.37</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-.76</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.455</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-.02</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Neutral</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.37</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.38</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.02</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-1.41</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.171</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-.03</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r>
      <w:tr w:rsidR="0003599C" w:rsidTr="00F92F11">
        <w:trPr>
          <w:jc w:val="center"/>
        </w:trPr>
        <w:tc>
          <w:tcPr>
            <w:tcW w:w="657" w:type="dxa"/>
            <w:vMerge w:val="restart"/>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Beta</w:t>
            </w: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Positive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.22</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.22</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-.48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.634</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Negative</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.22</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.21</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1.99</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1.00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.057</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r w:rsidR="0003599C" w:rsidTr="00F92F11">
        <w:trPr>
          <w:jc w:val="center"/>
        </w:trPr>
        <w:tc>
          <w:tcPr>
            <w:tcW w:w="657" w:type="dxa"/>
            <w:vMerge/>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p>
        </w:tc>
        <w:tc>
          <w:tcPr>
            <w:tcW w:w="127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Neutral</w:t>
            </w:r>
          </w:p>
        </w:tc>
        <w:tc>
          <w:tcPr>
            <w:tcW w:w="132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.22</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1417"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.22</w:t>
            </w:r>
            <w:r>
              <w:rPr>
                <w:rFonts w:ascii="Times New Roman" w:hAnsi="Times New Roman" w:cs="Times New Roman" w:hint="eastAsia"/>
                <w:color w:val="000000" w:themeColor="text1"/>
                <w:sz w:val="18"/>
                <w:szCs w:val="18"/>
              </w:rPr>
              <w:t>±</w:t>
            </w:r>
            <w:r>
              <w:rPr>
                <w:rFonts w:ascii="Times New Roman" w:hAnsi="Times New Roman" w:cs="Times New Roman"/>
                <w:color w:val="000000" w:themeColor="text1"/>
                <w:sz w:val="18"/>
                <w:szCs w:val="18"/>
              </w:rPr>
              <w:t>.01</w:t>
            </w:r>
          </w:p>
        </w:tc>
        <w:tc>
          <w:tcPr>
            <w:tcW w:w="992"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.68</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.500</w:t>
            </w:r>
          </w:p>
        </w:tc>
        <w:tc>
          <w:tcPr>
            <w:tcW w:w="709"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c>
          <w:tcPr>
            <w:tcW w:w="725" w:type="dxa"/>
            <w:tcBorders>
              <w:tl2br w:val="nil"/>
              <w:tr2bl w:val="nil"/>
            </w:tcBorders>
            <w:shd w:val="clear" w:color="auto" w:fill="auto"/>
            <w:vAlign w:val="center"/>
          </w:tcPr>
          <w:p w:rsidR="0003599C" w:rsidRDefault="0003599C" w:rsidP="00F92F11">
            <w:pPr>
              <w:spacing w:line="480" w:lineRule="auto"/>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.01</w:t>
            </w:r>
          </w:p>
        </w:tc>
      </w:tr>
    </w:tbl>
    <w:p w:rsidR="0003599C" w:rsidRDefault="0003599C" w:rsidP="0003599C">
      <w:pPr>
        <w:spacing w:line="480" w:lineRule="auto"/>
      </w:pPr>
      <w:r>
        <w:rPr>
          <w:rFonts w:ascii="Times New Roman" w:hAnsi="Times New Roman" w:hint="eastAsia"/>
          <w:i/>
          <w:iCs/>
          <w:sz w:val="20"/>
          <w:szCs w:val="20"/>
        </w:rPr>
        <w:t>Note.</w:t>
      </w:r>
      <w:r>
        <w:rPr>
          <w:rFonts w:ascii="Times New Roman" w:hAnsi="Times New Roman" w:hint="eastAsia"/>
          <w:sz w:val="20"/>
          <w:szCs w:val="20"/>
        </w:rPr>
        <w:t xml:space="preserve"> </w:t>
      </w:r>
      <w:r>
        <w:rPr>
          <w:rFonts w:ascii="Times New Roman" w:hAnsi="Times New Roman" w:hint="eastAsia"/>
          <w:sz w:val="18"/>
          <w:szCs w:val="18"/>
        </w:rPr>
        <w:t>L</w:t>
      </w:r>
      <w:r>
        <w:rPr>
          <w:rFonts w:ascii="Times New Roman" w:hAnsi="Times New Roman"/>
          <w:sz w:val="18"/>
          <w:szCs w:val="18"/>
        </w:rPr>
        <w:t>FC</w:t>
      </w:r>
      <w:r>
        <w:rPr>
          <w:rFonts w:ascii="Times New Roman" w:hAnsi="Times New Roman" w:hint="eastAsia"/>
          <w:sz w:val="18"/>
          <w:szCs w:val="18"/>
        </w:rPr>
        <w:t xml:space="preserve">s = </w:t>
      </w:r>
      <w:r>
        <w:rPr>
          <w:rFonts w:ascii="Times New Roman" w:hAnsi="Times New Roman"/>
          <w:sz w:val="18"/>
          <w:szCs w:val="18"/>
        </w:rPr>
        <w:t xml:space="preserve">low </w:t>
      </w:r>
      <w:bookmarkStart w:id="10" w:name="OLE_LINK27"/>
      <w:r>
        <w:rPr>
          <w:rFonts w:ascii="Times New Roman" w:hAnsi="Times New Roman"/>
          <w:sz w:val="18"/>
          <w:szCs w:val="18"/>
        </w:rPr>
        <w:t>family cohesion</w:t>
      </w:r>
      <w:bookmarkEnd w:id="10"/>
      <w:r>
        <w:rPr>
          <w:rFonts w:ascii="Times New Roman" w:hAnsi="Times New Roman"/>
          <w:sz w:val="18"/>
          <w:szCs w:val="18"/>
        </w:rPr>
        <w:t xml:space="preserve"> parent-adolescent dyads</w:t>
      </w:r>
      <w:r>
        <w:rPr>
          <w:rFonts w:ascii="Times New Roman" w:hAnsi="Times New Roman" w:hint="eastAsia"/>
          <w:sz w:val="18"/>
          <w:szCs w:val="18"/>
        </w:rPr>
        <w:t>, H</w:t>
      </w:r>
      <w:r>
        <w:rPr>
          <w:rFonts w:ascii="Times New Roman" w:hAnsi="Times New Roman"/>
          <w:sz w:val="18"/>
          <w:szCs w:val="18"/>
        </w:rPr>
        <w:t>FC</w:t>
      </w:r>
      <w:r>
        <w:rPr>
          <w:rFonts w:ascii="Times New Roman" w:hAnsi="Times New Roman" w:hint="eastAsia"/>
          <w:sz w:val="18"/>
          <w:szCs w:val="18"/>
        </w:rPr>
        <w:t xml:space="preserve">s = </w:t>
      </w:r>
      <w:r>
        <w:rPr>
          <w:rFonts w:ascii="Times New Roman" w:hAnsi="Times New Roman"/>
          <w:sz w:val="18"/>
          <w:szCs w:val="18"/>
        </w:rPr>
        <w:t>high family cohesion parent-adolescent dyads</w:t>
      </w:r>
      <w:r>
        <w:rPr>
          <w:rFonts w:ascii="Times New Roman" w:hAnsi="Times New Roman" w:hint="eastAsia"/>
          <w:sz w:val="18"/>
          <w:szCs w:val="18"/>
        </w:rPr>
        <w:t>.</w:t>
      </w:r>
      <w:r>
        <w:br w:type="page"/>
      </w:r>
    </w:p>
    <w:p w:rsidR="0003599C" w:rsidRDefault="0003599C" w:rsidP="0003599C">
      <w:pPr>
        <w:spacing w:line="480" w:lineRule="auto"/>
        <w:contextualSpacing/>
        <w:rPr>
          <w:rFonts w:ascii="Times New Roman" w:hAnsi="Times New Roman"/>
          <w:sz w:val="24"/>
          <w:szCs w:val="24"/>
        </w:rPr>
      </w:pPr>
      <w:r>
        <w:rPr>
          <w:rFonts w:ascii="Times New Roman" w:hAnsi="Times New Roman"/>
          <w:sz w:val="24"/>
          <w:szCs w:val="24"/>
        </w:rPr>
        <w:lastRenderedPageBreak/>
        <w:t>Appendix B</w:t>
      </w:r>
    </w:p>
    <w:p w:rsidR="0003599C" w:rsidRDefault="0003599C" w:rsidP="0003599C">
      <w:pPr>
        <w:spacing w:line="480" w:lineRule="auto"/>
        <w:contextualSpacing/>
        <w:rPr>
          <w:rFonts w:ascii="Times New Roman" w:hAnsi="Times New Roman"/>
          <w:color w:val="FF0000"/>
          <w:sz w:val="24"/>
          <w:lang w:val="en-GB"/>
        </w:rPr>
      </w:pPr>
      <w:r>
        <w:rPr>
          <w:rFonts w:ascii="Times New Roman" w:hAnsi="Times New Roman"/>
          <w:color w:val="FF0000"/>
          <w:sz w:val="24"/>
        </w:rPr>
        <w:t xml:space="preserve">   </w:t>
      </w:r>
      <w:r>
        <w:rPr>
          <w:rFonts w:ascii="Times New Roman" w:hAnsi="Times New Roman"/>
          <w:sz w:val="24"/>
          <w:szCs w:val="24"/>
        </w:rPr>
        <w:t xml:space="preserve"> To rule out the possible impact of relevant variables of the parent-adolescent emotional interactions on out findings, demographic variables, adolescents’ level of depression, adolescents’ level of anxiety, adolescents’ level of social support, parents’ level of depression, parents’ level of anxiety, and the level of parent involvement between the high and low family cohesion parent-</w:t>
      </w:r>
      <w:proofErr w:type="gramStart"/>
      <w:r>
        <w:rPr>
          <w:rFonts w:ascii="Times New Roman" w:hAnsi="Times New Roman"/>
          <w:sz w:val="24"/>
          <w:szCs w:val="24"/>
        </w:rPr>
        <w:t>adolescents</w:t>
      </w:r>
      <w:proofErr w:type="gramEnd"/>
      <w:r>
        <w:rPr>
          <w:rFonts w:ascii="Times New Roman" w:hAnsi="Times New Roman"/>
          <w:sz w:val="24"/>
          <w:szCs w:val="24"/>
        </w:rPr>
        <w:t xml:space="preserve"> dyad were examined. Repeated measures ANOVAs were used and these relevant variables were set as the covariates. </w:t>
      </w:r>
    </w:p>
    <w:p w:rsidR="0003599C" w:rsidRDefault="0003599C" w:rsidP="0003599C">
      <w:pPr>
        <w:spacing w:line="480" w:lineRule="auto"/>
        <w:ind w:firstLineChars="200" w:firstLine="480"/>
        <w:rPr>
          <w:rFonts w:ascii="Times New Roman" w:hAnsi="Times New Roman"/>
          <w:sz w:val="24"/>
          <w:szCs w:val="24"/>
        </w:rPr>
      </w:pPr>
      <w:r>
        <w:rPr>
          <w:rFonts w:ascii="Times New Roman" w:hAnsi="Times New Roman"/>
          <w:sz w:val="24"/>
          <w:szCs w:val="24"/>
        </w:rPr>
        <w:t xml:space="preserve">The results of the repeated measures ANOVA indicated that there were no significant main effects of </w:t>
      </w:r>
      <w:r>
        <w:rPr>
          <w:rFonts w:ascii="Times New Roman" w:hAnsi="Times New Roman" w:hint="eastAsia"/>
          <w:sz w:val="24"/>
          <w:szCs w:val="24"/>
        </w:rPr>
        <w:t>most</w:t>
      </w:r>
      <w:r>
        <w:rPr>
          <w:rFonts w:ascii="Times New Roman" w:hAnsi="Times New Roman"/>
          <w:sz w:val="24"/>
          <w:szCs w:val="24"/>
        </w:rPr>
        <w:t xml:space="preserve"> </w:t>
      </w:r>
      <w:r>
        <w:rPr>
          <w:rFonts w:ascii="Times New Roman" w:hAnsi="Times New Roman" w:hint="eastAsia"/>
          <w:sz w:val="24"/>
          <w:szCs w:val="24"/>
        </w:rPr>
        <w:t>of</w:t>
      </w:r>
      <w:r>
        <w:rPr>
          <w:rFonts w:ascii="Times New Roman" w:hAnsi="Times New Roman"/>
          <w:sz w:val="24"/>
          <w:szCs w:val="24"/>
        </w:rPr>
        <w:t xml:space="preserve"> </w:t>
      </w:r>
      <w:r>
        <w:rPr>
          <w:rFonts w:ascii="Times New Roman" w:hAnsi="Times New Roman" w:hint="eastAsia"/>
          <w:sz w:val="24"/>
          <w:szCs w:val="24"/>
        </w:rPr>
        <w:t>the</w:t>
      </w:r>
      <w:r>
        <w:rPr>
          <w:rFonts w:ascii="Times New Roman" w:hAnsi="Times New Roman"/>
          <w:sz w:val="24"/>
          <w:szCs w:val="24"/>
        </w:rPr>
        <w:t xml:space="preserve"> demographic variables and other examined variables on our </w:t>
      </w:r>
      <w:r>
        <w:rPr>
          <w:rFonts w:ascii="Times New Roman" w:hAnsi="Times New Roman" w:hint="eastAsia"/>
          <w:sz w:val="24"/>
          <w:szCs w:val="24"/>
        </w:rPr>
        <w:t>G</w:t>
      </w:r>
      <w:r>
        <w:rPr>
          <w:rFonts w:ascii="Times New Roman" w:hAnsi="Times New Roman"/>
          <w:sz w:val="24"/>
          <w:szCs w:val="24"/>
        </w:rPr>
        <w:t>amma Interbrain PLV between the high and low family cohesion group. Therefore, demographic variables and other examined variables were not included in subsequent analyses.</w:t>
      </w:r>
    </w:p>
    <w:p w:rsidR="0003599C" w:rsidRDefault="0003599C" w:rsidP="0003599C">
      <w:pPr>
        <w:spacing w:line="480" w:lineRule="auto"/>
        <w:ind w:firstLine="420"/>
        <w:rPr>
          <w:rFonts w:ascii="Times New Roman" w:hAnsi="Times New Roman"/>
          <w:color w:val="000000" w:themeColor="text1"/>
          <w:sz w:val="24"/>
          <w:szCs w:val="24"/>
        </w:rPr>
      </w:pPr>
      <w:r>
        <w:rPr>
          <w:rFonts w:ascii="Times New Roman" w:hAnsi="Times New Roman"/>
          <w:color w:val="000000" w:themeColor="text1"/>
          <w:sz w:val="24"/>
          <w:szCs w:val="24"/>
        </w:rPr>
        <w:t xml:space="preserve">Adolescent’s age: </w:t>
      </w:r>
      <w:proofErr w:type="gramStart"/>
      <w:r>
        <w:rPr>
          <w:rFonts w:ascii="Times New Roman" w:hAnsi="Times New Roman"/>
          <w:i/>
          <w:color w:val="000000" w:themeColor="text1"/>
          <w:sz w:val="24"/>
          <w:szCs w:val="24"/>
        </w:rPr>
        <w:t>F</w:t>
      </w:r>
      <w:r>
        <w:rPr>
          <w:rFonts w:ascii="Times New Roman" w:hAnsi="Times New Roman"/>
          <w:color w:val="000000" w:themeColor="text1"/>
          <w:sz w:val="24"/>
          <w:szCs w:val="24"/>
        </w:rPr>
        <w:t>(</w:t>
      </w:r>
      <w:proofErr w:type="gramEnd"/>
      <w:r>
        <w:rPr>
          <w:rFonts w:ascii="Times New Roman" w:hAnsi="Times New Roman"/>
          <w:color w:val="000000" w:themeColor="text1"/>
          <w:sz w:val="24"/>
          <w:szCs w:val="24"/>
        </w:rPr>
        <w:t xml:space="preserve">1, 26) = 3.57,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.070,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.12; parent’s age: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.07,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.798,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.00; adolescent’s gender: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=3.53,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.071,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.12; parent’s gender: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1.03,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.319,</w:t>
      </w:r>
      <w:r>
        <w:rPr>
          <w:rFonts w:ascii="Times New Roman" w:hAnsi="Times New Roman"/>
          <w:i/>
          <w:color w:val="000000" w:themeColor="text1"/>
          <w:sz w:val="24"/>
          <w:szCs w:val="24"/>
        </w:rPr>
        <w:t xml:space="preserve"> 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.04; parent-adolescent relations vary by gender (i.e., mother-daughter, mother-son. father-daughter, father-son) : </w:t>
      </w:r>
      <w:r>
        <w:rPr>
          <w:rFonts w:ascii="Times New Roman" w:hAnsi="Times New Roman"/>
          <w:i/>
          <w:iCs/>
          <w:color w:val="000000" w:themeColor="text1"/>
          <w:sz w:val="24"/>
          <w:szCs w:val="24"/>
        </w:rPr>
        <w:t>F</w:t>
      </w:r>
      <w:r>
        <w:rPr>
          <w:rFonts w:ascii="Times New Roman" w:hAnsi="Times New Roman"/>
          <w:color w:val="000000" w:themeColor="text1"/>
          <w:sz w:val="24"/>
          <w:szCs w:val="24"/>
        </w:rPr>
        <w:t>(1,26) = 3.83, </w:t>
      </w:r>
      <w:r>
        <w:rPr>
          <w:rFonts w:ascii="Times New Roman" w:hAnsi="Times New Roman"/>
          <w:i/>
          <w:iCs/>
          <w:color w:val="000000" w:themeColor="text1"/>
          <w:sz w:val="24"/>
          <w:szCs w:val="24"/>
        </w:rPr>
        <w:t>p</w:t>
      </w:r>
      <w:r>
        <w:rPr>
          <w:rFonts w:ascii="Times New Roman" w:hAnsi="Times New Roman"/>
          <w:color w:val="000000" w:themeColor="text1"/>
          <w:sz w:val="24"/>
          <w:szCs w:val="24"/>
        </w:rPr>
        <w:t> = .061,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2</w:t>
      </w:r>
      <w:r>
        <w:rPr>
          <w:rFonts w:ascii="Times New Roman" w:hAnsi="Times New Roman"/>
          <w:color w:val="000000" w:themeColor="text1"/>
          <w:sz w:val="24"/>
          <w:szCs w:val="24"/>
        </w:rPr>
        <w:t xml:space="preserve"> = .13; only child: </w:t>
      </w:r>
      <w:bookmarkStart w:id="11" w:name="OLE_LINK17"/>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.15,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.705,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.01;</w:t>
      </w:r>
      <w:bookmarkEnd w:id="11"/>
      <w:r>
        <w:rPr>
          <w:rFonts w:ascii="Times New Roman" w:hAnsi="Times New Roman"/>
          <w:color w:val="000000" w:themeColor="text1"/>
          <w:sz w:val="24"/>
          <w:szCs w:val="24"/>
        </w:rPr>
        <w:t xml:space="preserve"> father’s education level: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2.20,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.150,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.08; mother’s education level: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=.79,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.383,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.03; adolescent’s depression: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.43,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.517,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.02; adolescent’s anxiety: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3.12,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.089, </w:t>
      </w:r>
      <w:r>
        <w:rPr>
          <w:rFonts w:ascii="Times New Roman" w:hAnsi="Times New Roman"/>
          <w:i/>
          <w:color w:val="000000" w:themeColor="text1"/>
          <w:sz w:val="24"/>
          <w:szCs w:val="24"/>
        </w:rPr>
        <w:t>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.11; parent’s depression: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.04,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.841,</w:t>
      </w:r>
      <w:r>
        <w:rPr>
          <w:rFonts w:ascii="Times New Roman" w:hAnsi="Times New Roman"/>
          <w:i/>
          <w:color w:val="000000" w:themeColor="text1"/>
          <w:sz w:val="24"/>
          <w:szCs w:val="24"/>
        </w:rPr>
        <w:t xml:space="preserve"> 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.00; parent’s anxiety: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 .22,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.64,</w:t>
      </w:r>
      <w:r>
        <w:rPr>
          <w:rFonts w:ascii="Times New Roman" w:hAnsi="Times New Roman"/>
          <w:i/>
          <w:color w:val="000000" w:themeColor="text1"/>
          <w:sz w:val="24"/>
          <w:szCs w:val="24"/>
        </w:rPr>
        <w:t xml:space="preserve"> 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.01; parent involvement: </w:t>
      </w:r>
      <w:r>
        <w:rPr>
          <w:rFonts w:ascii="Times New Roman" w:hAnsi="Times New Roman"/>
          <w:i/>
          <w:color w:val="000000" w:themeColor="text1"/>
          <w:sz w:val="24"/>
          <w:szCs w:val="24"/>
        </w:rPr>
        <w:t>F</w:t>
      </w:r>
      <w:r>
        <w:rPr>
          <w:rFonts w:ascii="Times New Roman" w:hAnsi="Times New Roman"/>
          <w:color w:val="000000" w:themeColor="text1"/>
          <w:sz w:val="24"/>
          <w:szCs w:val="24"/>
        </w:rPr>
        <w:t xml:space="preserve">(1, 26) =.14, </w:t>
      </w:r>
      <w:r>
        <w:rPr>
          <w:rFonts w:ascii="Times New Roman" w:hAnsi="Times New Roman"/>
          <w:i/>
          <w:color w:val="000000" w:themeColor="text1"/>
          <w:sz w:val="24"/>
          <w:szCs w:val="24"/>
        </w:rPr>
        <w:t>p</w:t>
      </w:r>
      <w:r>
        <w:rPr>
          <w:rFonts w:ascii="Times New Roman" w:hAnsi="Times New Roman"/>
          <w:color w:val="000000" w:themeColor="text1"/>
          <w:sz w:val="24"/>
          <w:szCs w:val="24"/>
        </w:rPr>
        <w:t xml:space="preserve"> = .709,</w:t>
      </w:r>
      <w:r>
        <w:rPr>
          <w:rFonts w:ascii="Times New Roman" w:hAnsi="Times New Roman"/>
          <w:i/>
          <w:color w:val="000000" w:themeColor="text1"/>
          <w:sz w:val="24"/>
          <w:szCs w:val="24"/>
        </w:rPr>
        <w:t xml:space="preserve"> η</w:t>
      </w:r>
      <w:r>
        <w:rPr>
          <w:rFonts w:ascii="Times New Roman" w:hAnsi="Times New Roman"/>
          <w:i/>
          <w:color w:val="000000" w:themeColor="text1"/>
          <w:sz w:val="24"/>
          <w:szCs w:val="24"/>
          <w:vertAlign w:val="subscript"/>
        </w:rPr>
        <w:t>p</w:t>
      </w:r>
      <w:r>
        <w:rPr>
          <w:rFonts w:ascii="Times New Roman" w:hAnsi="Times New Roman"/>
          <w:i/>
          <w:color w:val="000000" w:themeColor="text1"/>
          <w:sz w:val="24"/>
          <w:szCs w:val="24"/>
          <w:vertAlign w:val="superscript"/>
        </w:rPr>
        <w:t xml:space="preserve">2 </w:t>
      </w:r>
      <w:r>
        <w:rPr>
          <w:rFonts w:ascii="Times New Roman" w:hAnsi="Times New Roman"/>
          <w:color w:val="000000" w:themeColor="text1"/>
          <w:sz w:val="24"/>
          <w:szCs w:val="24"/>
        </w:rPr>
        <w:t xml:space="preserve">= .01. </w:t>
      </w:r>
    </w:p>
    <w:p w:rsidR="00390883" w:rsidRDefault="0003599C"/>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9C"/>
    <w:rsid w:val="0003599C"/>
    <w:rsid w:val="001A6D85"/>
    <w:rsid w:val="006E330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E92A62-0285-402A-B5AF-BDAAE1927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99C"/>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03599C"/>
    <w:pPr>
      <w:widowControl/>
      <w:spacing w:before="100" w:beforeAutospacing="1" w:after="100" w:afterAutospacing="1"/>
      <w:jc w:val="left"/>
    </w:pPr>
    <w:rPr>
      <w:rFonts w:ascii="Times New Roman" w:hAnsi="Times New Roman" w:cs="Times New Roman"/>
      <w:kern w:val="0"/>
      <w:sz w:val="24"/>
      <w:szCs w:val="24"/>
      <w:lang w:eastAsia="ko-KR"/>
    </w:rPr>
  </w:style>
  <w:style w:type="character" w:styleId="CommentReference">
    <w:name w:val="annotation reference"/>
    <w:basedOn w:val="DefaultParagraphFont"/>
    <w:uiPriority w:val="99"/>
    <w:semiHidden/>
    <w:unhideWhenUsed/>
    <w:qFormat/>
    <w:rsid w:val="0003599C"/>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654</Words>
  <Characters>3729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2022-02-08T11:28:00Z</dcterms:created>
  <dcterms:modified xsi:type="dcterms:W3CDTF">2022-02-08T11:28:00Z</dcterms:modified>
</cp:coreProperties>
</file>