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92F115" w14:textId="77777777" w:rsidR="00885DDA" w:rsidRPr="00F040D7" w:rsidRDefault="00885DDA" w:rsidP="00885DDA">
      <w:pPr>
        <w:shd w:val="clear" w:color="auto" w:fill="FFFFFF"/>
        <w:spacing w:before="240" w:line="480" w:lineRule="auto"/>
        <w:jc w:val="both"/>
        <w:rPr>
          <w:rFonts w:asciiTheme="majorBidi" w:eastAsia="Times New Roman" w:hAnsiTheme="majorBidi" w:cstheme="majorBidi"/>
          <w:sz w:val="28"/>
          <w:szCs w:val="28"/>
        </w:rPr>
      </w:pPr>
      <w:r w:rsidRPr="00F040D7">
        <w:rPr>
          <w:rStyle w:val="tlid-translation"/>
          <w:rFonts w:asciiTheme="majorBidi" w:eastAsia="Times New Roman" w:hAnsiTheme="majorBidi" w:cstheme="majorBidi"/>
          <w:b/>
          <w:bCs/>
          <w:kern w:val="36"/>
          <w:sz w:val="28"/>
          <w:szCs w:val="28"/>
          <w:lang w:val="en"/>
        </w:rPr>
        <w:t>Iranian HPV-positive women's needs and preferences in relation to receiving health services</w:t>
      </w:r>
      <w:r w:rsidRPr="00F040D7">
        <w:rPr>
          <w:rFonts w:asciiTheme="majorBidi" w:eastAsia="Times New Roman" w:hAnsiTheme="majorBidi" w:cstheme="majorBidi"/>
          <w:sz w:val="28"/>
          <w:szCs w:val="28"/>
        </w:rPr>
        <w:t xml:space="preserve">: </w:t>
      </w:r>
      <w:r w:rsidRPr="00F040D7">
        <w:rPr>
          <w:rStyle w:val="tlid-translation"/>
          <w:rFonts w:asciiTheme="majorBidi" w:eastAsia="Times New Roman" w:hAnsiTheme="majorBidi" w:cstheme="majorBidi"/>
          <w:b/>
          <w:bCs/>
          <w:kern w:val="36"/>
          <w:sz w:val="28"/>
          <w:szCs w:val="28"/>
          <w:lang w:val="en"/>
        </w:rPr>
        <w:t>A qualitative study</w:t>
      </w:r>
    </w:p>
    <w:p w14:paraId="1A377F35" w14:textId="77777777" w:rsidR="00885DDA" w:rsidRPr="008A6BCA" w:rsidRDefault="00885DDA" w:rsidP="00885DDA">
      <w:pPr>
        <w:shd w:val="clear" w:color="auto" w:fill="FFFFFF"/>
        <w:spacing w:before="240" w:line="276" w:lineRule="auto"/>
        <w:jc w:val="both"/>
        <w:rPr>
          <w:rFonts w:asciiTheme="majorBidi" w:eastAsia="Times New Roman" w:hAnsiTheme="majorBidi" w:cstheme="majorBidi"/>
          <w:sz w:val="20"/>
          <w:szCs w:val="20"/>
        </w:rPr>
      </w:pPr>
      <w:proofErr w:type="spellStart"/>
      <w:r w:rsidRPr="008A6BCA">
        <w:rPr>
          <w:rFonts w:asciiTheme="majorBidi" w:eastAsia="Times New Roman" w:hAnsiTheme="majorBidi" w:cstheme="majorBidi"/>
          <w:sz w:val="20"/>
          <w:szCs w:val="20"/>
        </w:rPr>
        <w:t>Kowsar</w:t>
      </w:r>
      <w:proofErr w:type="spellEnd"/>
      <w:r w:rsidRPr="008A6BCA">
        <w:rPr>
          <w:rFonts w:asciiTheme="majorBidi" w:eastAsia="Times New Roman" w:hAnsiTheme="majorBidi" w:cstheme="majorBidi"/>
          <w:sz w:val="20"/>
          <w:szCs w:val="20"/>
        </w:rPr>
        <w:t xml:space="preserve"> Qaderi</w:t>
      </w:r>
      <w:r w:rsidRPr="008A6BCA">
        <w:rPr>
          <w:rFonts w:asciiTheme="majorBidi" w:eastAsia="Times New Roman" w:hAnsiTheme="majorBidi" w:cstheme="majorBidi"/>
          <w:sz w:val="20"/>
          <w:szCs w:val="20"/>
          <w:vertAlign w:val="superscript"/>
        </w:rPr>
        <w:t>1</w:t>
      </w:r>
      <w:r w:rsidRPr="008A6BCA">
        <w:rPr>
          <w:rFonts w:asciiTheme="majorBidi" w:eastAsia="Times New Roman" w:hAnsiTheme="majorBidi" w:cstheme="majorBidi"/>
          <w:sz w:val="20"/>
          <w:szCs w:val="20"/>
        </w:rPr>
        <w:t xml:space="preserve">, </w:t>
      </w:r>
      <w:proofErr w:type="spellStart"/>
      <w:r w:rsidRPr="008A6BCA">
        <w:rPr>
          <w:rFonts w:asciiTheme="majorBidi" w:eastAsia="Times New Roman" w:hAnsiTheme="majorBidi" w:cstheme="majorBidi"/>
          <w:sz w:val="20"/>
          <w:szCs w:val="20"/>
        </w:rPr>
        <w:t>Mehrnaz</w:t>
      </w:r>
      <w:proofErr w:type="spellEnd"/>
      <w:r w:rsidRPr="008A6BCA">
        <w:rPr>
          <w:rFonts w:asciiTheme="majorBidi" w:eastAsia="Times New Roman" w:hAnsiTheme="majorBidi" w:cstheme="majorBidi"/>
          <w:sz w:val="20"/>
          <w:szCs w:val="20"/>
        </w:rPr>
        <w:t xml:space="preserve"> Geranmayeh</w:t>
      </w:r>
      <w:r w:rsidRPr="008A6BCA">
        <w:rPr>
          <w:rFonts w:asciiTheme="majorBidi" w:eastAsia="Times New Roman" w:hAnsiTheme="majorBidi" w:cstheme="majorBidi"/>
          <w:sz w:val="20"/>
          <w:szCs w:val="20"/>
          <w:vertAlign w:val="superscript"/>
        </w:rPr>
        <w:t>2</w:t>
      </w:r>
      <w:r w:rsidRPr="008A6BCA">
        <w:rPr>
          <w:rFonts w:asciiTheme="majorBidi" w:eastAsia="Times New Roman" w:hAnsiTheme="majorBidi" w:cstheme="majorBidi"/>
          <w:sz w:val="20"/>
          <w:szCs w:val="20"/>
        </w:rPr>
        <w:t>, Farnaz Farnam</w:t>
      </w:r>
      <w:r w:rsidRPr="008A6BCA">
        <w:rPr>
          <w:rFonts w:asciiTheme="majorBidi" w:eastAsia="Times New Roman" w:hAnsiTheme="majorBidi" w:cstheme="majorBidi"/>
          <w:sz w:val="20"/>
          <w:szCs w:val="20"/>
          <w:vertAlign w:val="superscript"/>
        </w:rPr>
        <w:t>2</w:t>
      </w:r>
      <w:r w:rsidRPr="008A6BCA">
        <w:rPr>
          <w:rFonts w:asciiTheme="majorBidi" w:eastAsia="Times New Roman" w:hAnsiTheme="majorBidi" w:cstheme="majorBidi"/>
          <w:sz w:val="20"/>
          <w:szCs w:val="20"/>
        </w:rPr>
        <w:t xml:space="preserve">, </w:t>
      </w:r>
      <w:proofErr w:type="spellStart"/>
      <w:r w:rsidRPr="008A6BCA">
        <w:rPr>
          <w:rFonts w:asciiTheme="majorBidi" w:eastAsia="Times New Roman" w:hAnsiTheme="majorBidi" w:cstheme="majorBidi"/>
          <w:sz w:val="20"/>
          <w:szCs w:val="20"/>
        </w:rPr>
        <w:t>Shahrzad</w:t>
      </w:r>
      <w:proofErr w:type="spellEnd"/>
      <w:r w:rsidRPr="008A6BCA">
        <w:rPr>
          <w:rFonts w:asciiTheme="majorBidi" w:eastAsia="Times New Roman" w:hAnsiTheme="majorBidi" w:cstheme="majorBidi"/>
          <w:sz w:val="20"/>
          <w:szCs w:val="20"/>
        </w:rPr>
        <w:t xml:space="preserve"> Sheikh Hasani</w:t>
      </w:r>
      <w:r w:rsidRPr="008A6BCA">
        <w:rPr>
          <w:rFonts w:asciiTheme="majorBidi" w:eastAsia="Times New Roman" w:hAnsiTheme="majorBidi" w:cstheme="majorBidi"/>
          <w:sz w:val="20"/>
          <w:szCs w:val="20"/>
          <w:vertAlign w:val="superscript"/>
        </w:rPr>
        <w:t>3</w:t>
      </w:r>
      <w:r w:rsidRPr="008A6BCA">
        <w:rPr>
          <w:rFonts w:asciiTheme="majorBidi" w:eastAsia="Times New Roman" w:hAnsiTheme="majorBidi" w:cstheme="majorBidi"/>
          <w:sz w:val="20"/>
          <w:szCs w:val="20"/>
        </w:rPr>
        <w:t xml:space="preserve">, </w:t>
      </w:r>
      <w:proofErr w:type="spellStart"/>
      <w:r w:rsidRPr="008A6BCA">
        <w:rPr>
          <w:rFonts w:asciiTheme="majorBidi" w:eastAsia="Times New Roman" w:hAnsiTheme="majorBidi" w:cstheme="majorBidi"/>
          <w:sz w:val="20"/>
          <w:szCs w:val="20"/>
        </w:rPr>
        <w:t>Seyedeh</w:t>
      </w:r>
      <w:proofErr w:type="spellEnd"/>
      <w:r w:rsidRPr="008A6BCA">
        <w:rPr>
          <w:rFonts w:asciiTheme="majorBidi" w:eastAsia="Times New Roman" w:hAnsiTheme="majorBidi" w:cstheme="majorBidi"/>
          <w:sz w:val="20"/>
          <w:szCs w:val="20"/>
        </w:rPr>
        <w:t xml:space="preserve"> </w:t>
      </w:r>
      <w:proofErr w:type="spellStart"/>
      <w:r w:rsidRPr="008A6BCA">
        <w:rPr>
          <w:rFonts w:asciiTheme="majorBidi" w:eastAsia="Times New Roman" w:hAnsiTheme="majorBidi" w:cstheme="majorBidi"/>
          <w:sz w:val="20"/>
          <w:szCs w:val="20"/>
        </w:rPr>
        <w:t>Tahereh</w:t>
      </w:r>
      <w:proofErr w:type="spellEnd"/>
      <w:r w:rsidRPr="008A6BCA">
        <w:rPr>
          <w:rFonts w:asciiTheme="majorBidi" w:eastAsia="Times New Roman" w:hAnsiTheme="majorBidi" w:cstheme="majorBidi"/>
          <w:sz w:val="20"/>
          <w:szCs w:val="20"/>
        </w:rPr>
        <w:t xml:space="preserve"> Mirmolaei</w:t>
      </w:r>
      <w:r w:rsidRPr="008A6BCA">
        <w:rPr>
          <w:rFonts w:asciiTheme="majorBidi" w:eastAsia="Times New Roman" w:hAnsiTheme="majorBidi" w:cstheme="majorBidi"/>
          <w:sz w:val="20"/>
          <w:szCs w:val="20"/>
          <w:vertAlign w:val="superscript"/>
        </w:rPr>
        <w:t>2*</w:t>
      </w:r>
    </w:p>
    <w:p w14:paraId="10E3C489" w14:textId="77777777" w:rsidR="00DB4A56" w:rsidRPr="008A6BCA" w:rsidRDefault="00DB4A56" w:rsidP="00DB4A56">
      <w:pPr>
        <w:autoSpaceDE w:val="0"/>
        <w:autoSpaceDN w:val="0"/>
        <w:adjustRightInd w:val="0"/>
        <w:spacing w:before="240" w:line="276" w:lineRule="auto"/>
        <w:rPr>
          <w:rFonts w:asciiTheme="majorBidi" w:hAnsiTheme="majorBidi" w:cstheme="majorBidi"/>
          <w:b/>
          <w:bCs/>
          <w:sz w:val="20"/>
          <w:szCs w:val="20"/>
          <w:rtl/>
        </w:rPr>
      </w:pPr>
      <w:r w:rsidRPr="008A6BCA">
        <w:rPr>
          <w:rFonts w:asciiTheme="majorBidi" w:hAnsiTheme="majorBidi" w:cstheme="majorBidi"/>
          <w:b/>
          <w:bCs/>
          <w:sz w:val="20"/>
          <w:szCs w:val="20"/>
        </w:rPr>
        <w:t xml:space="preserve">Appendix 1  </w:t>
      </w:r>
    </w:p>
    <w:p w14:paraId="0CF77E89" w14:textId="77777777" w:rsidR="00DB4A56" w:rsidRPr="00E2598D" w:rsidRDefault="00DB4A56" w:rsidP="00DB4A56">
      <w:pPr>
        <w:spacing w:line="276" w:lineRule="auto"/>
        <w:jc w:val="both"/>
        <w:rPr>
          <w:rFonts w:asciiTheme="majorBidi" w:hAnsiTheme="majorBidi" w:cstheme="majorBidi"/>
          <w:sz w:val="22"/>
          <w:szCs w:val="22"/>
        </w:rPr>
      </w:pPr>
      <w:r w:rsidRPr="00E2598D">
        <w:rPr>
          <w:rFonts w:asciiTheme="majorBidi" w:hAnsiTheme="majorBidi" w:cstheme="majorBidi"/>
          <w:sz w:val="22"/>
          <w:szCs w:val="22"/>
        </w:rPr>
        <w:t>Interview guide:</w:t>
      </w:r>
    </w:p>
    <w:p w14:paraId="0DBDFB2E" w14:textId="77777777" w:rsidR="00DB4A56" w:rsidRPr="008A6BCA" w:rsidRDefault="00DB4A56" w:rsidP="00DB4A56">
      <w:pPr>
        <w:spacing w:line="276" w:lineRule="auto"/>
        <w:jc w:val="both"/>
        <w:rPr>
          <w:rFonts w:asciiTheme="majorBidi" w:hAnsiTheme="majorBidi" w:cstheme="majorBidi"/>
          <w:b/>
          <w:bCs/>
          <w:sz w:val="20"/>
          <w:szCs w:val="20"/>
        </w:rPr>
      </w:pPr>
      <w:r w:rsidRPr="008A6BCA">
        <w:rPr>
          <w:rFonts w:asciiTheme="majorBidi" w:eastAsia="Times New Roman" w:hAnsiTheme="majorBidi" w:cstheme="majorBidi"/>
          <w:sz w:val="20"/>
          <w:szCs w:val="20"/>
        </w:rPr>
        <w:t>Open questions included</w:t>
      </w:r>
      <w:r w:rsidRPr="008A6BCA">
        <w:rPr>
          <w:rFonts w:asciiTheme="majorBidi" w:hAnsiTheme="majorBidi" w:cstheme="majorBidi"/>
          <w:sz w:val="20"/>
          <w:szCs w:val="20"/>
        </w:rPr>
        <w:t>: “What did your healthcare provider tell you about HPV at the time of diagnosis?”, “Please tell me about your experiences, thoughts, and feelings communication with your clinician or doctors?” and “What makes you feel better or worse when you are thinking about patient-physician communication around HPV in different setting (Lab, clinic or hospital)?”</w:t>
      </w:r>
    </w:p>
    <w:p w14:paraId="4C59CA09" w14:textId="77777777" w:rsidR="00DB4A56" w:rsidRPr="008A6BCA" w:rsidRDefault="00DB4A56" w:rsidP="00DB4A56">
      <w:pPr>
        <w:spacing w:line="276" w:lineRule="auto"/>
        <w:jc w:val="both"/>
        <w:rPr>
          <w:rFonts w:asciiTheme="majorBidi" w:hAnsiTheme="majorBidi" w:cstheme="majorBidi"/>
          <w:sz w:val="20"/>
          <w:szCs w:val="20"/>
        </w:rPr>
      </w:pPr>
      <w:r w:rsidRPr="008A6BCA">
        <w:rPr>
          <w:rFonts w:asciiTheme="majorBidi" w:hAnsiTheme="majorBidi" w:cstheme="majorBidi"/>
          <w:sz w:val="20"/>
          <w:szCs w:val="20"/>
        </w:rPr>
        <w:t>We encouraged patients to express their preferences asking: “</w:t>
      </w:r>
      <w:r w:rsidRPr="008A6BCA">
        <w:rPr>
          <w:rStyle w:val="tlid-translation"/>
          <w:rFonts w:asciiTheme="majorBidi" w:hAnsiTheme="majorBidi" w:cstheme="majorBidi"/>
          <w:sz w:val="20"/>
          <w:szCs w:val="20"/>
          <w:lang w:val="en"/>
        </w:rPr>
        <w:t>What do you suggest for health care provider? How would you like the physician or primary care provider to be?</w:t>
      </w:r>
      <w:r w:rsidRPr="008A6BCA">
        <w:rPr>
          <w:rFonts w:asciiTheme="majorBidi" w:hAnsiTheme="majorBidi" w:cstheme="majorBidi"/>
          <w:sz w:val="20"/>
          <w:szCs w:val="20"/>
        </w:rPr>
        <w:t xml:space="preserve">” and “What are your preferences and expectations related to receiving healthcare?” </w:t>
      </w:r>
    </w:p>
    <w:p w14:paraId="2BA88932" w14:textId="77777777" w:rsidR="00DB4A56" w:rsidRPr="008A6BCA" w:rsidRDefault="00DB4A56" w:rsidP="00DB4A56">
      <w:pPr>
        <w:spacing w:line="276" w:lineRule="auto"/>
        <w:jc w:val="both"/>
        <w:rPr>
          <w:rFonts w:asciiTheme="majorBidi" w:hAnsiTheme="majorBidi" w:cstheme="majorBidi"/>
          <w:sz w:val="20"/>
          <w:szCs w:val="20"/>
        </w:rPr>
      </w:pPr>
      <w:r w:rsidRPr="008A6BCA">
        <w:rPr>
          <w:rFonts w:asciiTheme="majorBidi" w:hAnsiTheme="majorBidi" w:cstheme="majorBidi"/>
          <w:sz w:val="20"/>
          <w:szCs w:val="20"/>
        </w:rPr>
        <w:t>We asked healthcare providers: “In your experience, what should be considered in counseling and educating HPV-positive women?”</w:t>
      </w:r>
    </w:p>
    <w:p w14:paraId="7BA41967" w14:textId="77777777" w:rsidR="00DB4A56" w:rsidRPr="008A6BCA" w:rsidRDefault="00DB4A56" w:rsidP="00DB4A56">
      <w:pPr>
        <w:spacing w:line="276" w:lineRule="auto"/>
        <w:jc w:val="both"/>
        <w:rPr>
          <w:rFonts w:asciiTheme="majorBidi" w:hAnsiTheme="majorBidi" w:cstheme="majorBidi"/>
          <w:sz w:val="20"/>
          <w:szCs w:val="20"/>
        </w:rPr>
      </w:pPr>
      <w:r w:rsidRPr="008A6BCA">
        <w:rPr>
          <w:rFonts w:asciiTheme="majorBidi" w:hAnsiTheme="majorBidi" w:cstheme="majorBidi"/>
          <w:sz w:val="20"/>
          <w:szCs w:val="20"/>
        </w:rPr>
        <w:t>Open questions such as "What do you mean?" and "Please expand" were used to extract more clear and detailed responses.</w:t>
      </w:r>
    </w:p>
    <w:p w14:paraId="616F873E" w14:textId="77777777" w:rsidR="00DB4A56" w:rsidRPr="008A6BCA" w:rsidRDefault="00DB4A56" w:rsidP="00DB4A56">
      <w:pPr>
        <w:spacing w:line="276" w:lineRule="auto"/>
        <w:jc w:val="both"/>
        <w:rPr>
          <w:rFonts w:asciiTheme="majorBidi" w:hAnsiTheme="majorBidi" w:cstheme="majorBidi"/>
          <w:sz w:val="20"/>
          <w:szCs w:val="20"/>
        </w:rPr>
      </w:pPr>
    </w:p>
    <w:p w14:paraId="0EA4350F" w14:textId="77777777" w:rsidR="00DB4A56" w:rsidRPr="008A6BCA" w:rsidRDefault="00DB4A56" w:rsidP="00DB4A56">
      <w:pPr>
        <w:autoSpaceDE w:val="0"/>
        <w:autoSpaceDN w:val="0"/>
        <w:adjustRightInd w:val="0"/>
        <w:spacing w:before="240" w:line="276" w:lineRule="auto"/>
        <w:jc w:val="both"/>
        <w:rPr>
          <w:rFonts w:asciiTheme="majorBidi" w:hAnsiTheme="majorBidi" w:cstheme="majorBidi"/>
          <w:b/>
          <w:bCs/>
          <w:sz w:val="20"/>
          <w:szCs w:val="20"/>
        </w:rPr>
      </w:pPr>
    </w:p>
    <w:p w14:paraId="4C944AA1" w14:textId="77777777" w:rsidR="0077736D" w:rsidRPr="00DB4A56" w:rsidRDefault="0077736D" w:rsidP="00DB4A56"/>
    <w:sectPr w:rsidR="0077736D" w:rsidRPr="00DB4A56" w:rsidSect="00BC442A">
      <w:pgSz w:w="11906" w:h="16838"/>
      <w:pgMar w:top="1440" w:right="1440" w:bottom="1440" w:left="144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B Nazanin">
    <w:panose1 w:val="00000400000000000000"/>
    <w:charset w:val="B2"/>
    <w:family w:val="auto"/>
    <w:pitch w:val="variable"/>
    <w:sig w:usb0="00002001" w:usb1="80000000" w:usb2="00000008" w:usb3="00000000" w:csb0="0000004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C26B8"/>
    <w:rsid w:val="0077736D"/>
    <w:rsid w:val="00885DDA"/>
    <w:rsid w:val="009C26B8"/>
    <w:rsid w:val="00A74DB8"/>
    <w:rsid w:val="00BC442A"/>
    <w:rsid w:val="00DB4A56"/>
    <w:rsid w:val="00EE41CD"/>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B19FD4"/>
  <w15:docId w15:val="{15E0CC14-2691-467B-BC5A-6C08F915E6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Theme="minorHAnsi" w:hAnsi="Calibri" w:cs="B Nazanin"/>
        <w:sz w:val="24"/>
        <w:szCs w:val="24"/>
        <w:lang w:val="en-US" w:eastAsia="en-US" w:bidi="fa-IR"/>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4A5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C26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9C26B8"/>
    <w:pPr>
      <w:spacing w:before="100" w:beforeAutospacing="1" w:after="100" w:afterAutospacing="1"/>
    </w:pPr>
    <w:rPr>
      <w:rFonts w:ascii="Times New Roman" w:eastAsia="Times New Roman" w:hAnsi="Times New Roman" w:cs="Times New Roman"/>
    </w:rPr>
  </w:style>
  <w:style w:type="paragraph" w:styleId="CommentText">
    <w:name w:val="annotation text"/>
    <w:basedOn w:val="Normal"/>
    <w:link w:val="CommentTextChar"/>
    <w:uiPriority w:val="99"/>
    <w:unhideWhenUsed/>
    <w:rsid w:val="009C26B8"/>
    <w:pPr>
      <w:bidi/>
      <w:spacing w:after="200"/>
    </w:pPr>
    <w:rPr>
      <w:rFonts w:ascii="B Nazanin" w:hAnsi="B Nazanin"/>
      <w:sz w:val="20"/>
      <w:szCs w:val="20"/>
    </w:rPr>
  </w:style>
  <w:style w:type="character" w:customStyle="1" w:styleId="CommentTextChar">
    <w:name w:val="Comment Text Char"/>
    <w:basedOn w:val="DefaultParagraphFont"/>
    <w:link w:val="CommentText"/>
    <w:uiPriority w:val="99"/>
    <w:rsid w:val="009C26B8"/>
    <w:rPr>
      <w:rFonts w:ascii="B Nazanin" w:hAnsi="B Nazanin"/>
      <w:sz w:val="20"/>
      <w:szCs w:val="20"/>
    </w:rPr>
  </w:style>
  <w:style w:type="paragraph" w:customStyle="1" w:styleId="EndNoteBibliography">
    <w:name w:val="EndNote Bibliography"/>
    <w:basedOn w:val="Normal"/>
    <w:link w:val="EndNoteBibliographyChar"/>
    <w:rsid w:val="009C26B8"/>
    <w:rPr>
      <w:rFonts w:cs="Calibri"/>
      <w:noProof/>
      <w:sz w:val="20"/>
    </w:rPr>
  </w:style>
  <w:style w:type="character" w:customStyle="1" w:styleId="EndNoteBibliographyChar">
    <w:name w:val="EndNote Bibliography Char"/>
    <w:basedOn w:val="DefaultParagraphFont"/>
    <w:link w:val="EndNoteBibliography"/>
    <w:rsid w:val="009C26B8"/>
    <w:rPr>
      <w:rFonts w:cs="Calibri"/>
      <w:noProof/>
      <w:sz w:val="20"/>
    </w:rPr>
  </w:style>
  <w:style w:type="character" w:customStyle="1" w:styleId="tlid-translation">
    <w:name w:val="tlid-translation"/>
    <w:basedOn w:val="DefaultParagraphFont"/>
    <w:rsid w:val="009C26B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168</Words>
  <Characters>964</Characters>
  <Application>Microsoft Office Word</Application>
  <DocSecurity>0</DocSecurity>
  <Lines>8</Lines>
  <Paragraphs>2</Paragraphs>
  <ScaleCrop>false</ScaleCrop>
  <Company/>
  <LinksUpToDate>false</LinksUpToDate>
  <CharactersWithSpaces>1130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LOVE</dc:creator>
  <cp:lastModifiedBy>LOVE</cp:lastModifiedBy>
  <cp:revision>5</cp:revision>
  <dcterms:created xsi:type="dcterms:W3CDTF">2020-10-29T22:47:00Z</dcterms:created>
  <dcterms:modified xsi:type="dcterms:W3CDTF">2021-01-09T22:29:00Z</dcterms:modified>
</cp:coreProperties>
</file>