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55E" w:rsidRDefault="0025555E" w:rsidP="0025555E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32B0E">
        <w:rPr>
          <w:rFonts w:ascii="Times New Roman" w:hAnsi="Times New Roman" w:cs="Times New Roman"/>
          <w:sz w:val="24"/>
          <w:szCs w:val="24"/>
        </w:rPr>
        <w:t xml:space="preserve">Table </w:t>
      </w:r>
      <w:r w:rsidRPr="00432B0E">
        <w:rPr>
          <w:rFonts w:ascii="Times New Roman" w:hAnsi="Times New Roman" w:cs="Times New Roman"/>
          <w:sz w:val="24"/>
          <w:szCs w:val="24"/>
        </w:rPr>
        <w:fldChar w:fldCharType="begin"/>
      </w:r>
      <w:r w:rsidRPr="00432B0E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432B0E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4</w:t>
      </w:r>
      <w:r w:rsidRPr="00432B0E">
        <w:rPr>
          <w:rFonts w:ascii="Times New Roman" w:hAnsi="Times New Roman" w:cs="Times New Roman"/>
          <w:sz w:val="24"/>
          <w:szCs w:val="24"/>
        </w:rPr>
        <w:fldChar w:fldCharType="end"/>
      </w:r>
      <w:r w:rsidRPr="00432B0E">
        <w:rPr>
          <w:rFonts w:ascii="Times New Roman" w:hAnsi="Times New Roman" w:cs="Times New Roman"/>
          <w:sz w:val="24"/>
          <w:szCs w:val="24"/>
        </w:rPr>
        <w:t xml:space="preserve"> Bivariate and multivariate analyses of demographic and clinical risk factors for raised blood pressure, raised blood sugar, dyslipidemia and central obesity of study subjects. EPHI, Ethiopia, Addis Ababa, 2018 (n=450)</w:t>
      </w:r>
    </w:p>
    <w:tbl>
      <w:tblPr>
        <w:tblW w:w="15819" w:type="dxa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4"/>
        <w:gridCol w:w="1750"/>
        <w:gridCol w:w="1555"/>
        <w:gridCol w:w="1458"/>
        <w:gridCol w:w="1555"/>
        <w:gridCol w:w="1433"/>
        <w:gridCol w:w="1458"/>
        <w:gridCol w:w="1458"/>
        <w:gridCol w:w="1555"/>
        <w:gridCol w:w="1653"/>
      </w:tblGrid>
      <w:tr w:rsidR="0025555E" w:rsidRPr="0025555E" w:rsidTr="0025555E">
        <w:trPr>
          <w:trHeight w:val="272"/>
        </w:trPr>
        <w:tc>
          <w:tcPr>
            <w:tcW w:w="3694" w:type="dxa"/>
            <w:gridSpan w:val="2"/>
            <w:vMerge w:val="restart"/>
          </w:tcPr>
          <w:p w:rsidR="0025555E" w:rsidRPr="0025555E" w:rsidRDefault="0025555E" w:rsidP="00483A8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Characteristics </w:t>
            </w:r>
          </w:p>
        </w:tc>
        <w:tc>
          <w:tcPr>
            <w:tcW w:w="3013" w:type="dxa"/>
            <w:gridSpan w:val="2"/>
          </w:tcPr>
          <w:p w:rsidR="0025555E" w:rsidRPr="0025555E" w:rsidRDefault="0025555E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Raised Blood Pressure</w:t>
            </w:r>
          </w:p>
        </w:tc>
        <w:tc>
          <w:tcPr>
            <w:tcW w:w="2988" w:type="dxa"/>
            <w:gridSpan w:val="2"/>
          </w:tcPr>
          <w:p w:rsidR="0025555E" w:rsidRPr="0025555E" w:rsidRDefault="0025555E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Raised Blood Glucose</w:t>
            </w:r>
          </w:p>
        </w:tc>
        <w:tc>
          <w:tcPr>
            <w:tcW w:w="2916" w:type="dxa"/>
            <w:gridSpan w:val="2"/>
          </w:tcPr>
          <w:p w:rsidR="0025555E" w:rsidRPr="0025555E" w:rsidRDefault="0025555E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Dyslipidemia</w:t>
            </w:r>
          </w:p>
        </w:tc>
        <w:tc>
          <w:tcPr>
            <w:tcW w:w="3208" w:type="dxa"/>
            <w:gridSpan w:val="2"/>
          </w:tcPr>
          <w:p w:rsidR="0025555E" w:rsidRPr="0025555E" w:rsidRDefault="0025555E" w:rsidP="00483A8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Central Obesity based on IDF</w:t>
            </w:r>
          </w:p>
        </w:tc>
      </w:tr>
      <w:tr w:rsidR="0025555E" w:rsidRPr="0025555E" w:rsidTr="0025555E">
        <w:trPr>
          <w:trHeight w:val="272"/>
        </w:trPr>
        <w:tc>
          <w:tcPr>
            <w:tcW w:w="3694" w:type="dxa"/>
            <w:gridSpan w:val="2"/>
            <w:vMerge/>
          </w:tcPr>
          <w:p w:rsidR="0025555E" w:rsidRPr="0025555E" w:rsidRDefault="0025555E" w:rsidP="00483A8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COR</w:t>
            </w:r>
            <w:r w:rsidRPr="0025555E">
              <w:rPr>
                <w:sz w:val="18"/>
                <w:szCs w:val="18"/>
                <w:vertAlign w:val="superscript"/>
              </w:rPr>
              <w:t>1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AOR</w:t>
            </w:r>
            <w:r w:rsidRPr="0025555E">
              <w:rPr>
                <w:sz w:val="18"/>
                <w:szCs w:val="18"/>
                <w:vertAlign w:val="superscript"/>
              </w:rPr>
              <w:t>2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COR</w:t>
            </w:r>
            <w:r w:rsidRPr="0025555E">
              <w:rPr>
                <w:sz w:val="18"/>
                <w:szCs w:val="18"/>
                <w:vertAlign w:val="superscript"/>
              </w:rPr>
              <w:t>1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AOR</w:t>
            </w:r>
            <w:r w:rsidRPr="0025555E">
              <w:rPr>
                <w:sz w:val="18"/>
                <w:szCs w:val="18"/>
                <w:vertAlign w:val="superscript"/>
              </w:rPr>
              <w:t>2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COR</w:t>
            </w:r>
            <w:r w:rsidRPr="0025555E">
              <w:rPr>
                <w:sz w:val="18"/>
                <w:szCs w:val="18"/>
                <w:vertAlign w:val="superscript"/>
              </w:rPr>
              <w:t>1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AOR</w:t>
            </w:r>
            <w:r w:rsidRPr="0025555E">
              <w:rPr>
                <w:sz w:val="18"/>
                <w:szCs w:val="18"/>
                <w:vertAlign w:val="superscript"/>
              </w:rPr>
              <w:t>2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COR</w:t>
            </w:r>
            <w:r w:rsidRPr="0025555E">
              <w:rPr>
                <w:sz w:val="18"/>
                <w:szCs w:val="18"/>
                <w:vertAlign w:val="superscript"/>
              </w:rPr>
              <w:t>1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AOR</w:t>
            </w:r>
            <w:r w:rsidRPr="0025555E">
              <w:rPr>
                <w:sz w:val="18"/>
                <w:szCs w:val="18"/>
                <w:vertAlign w:val="superscript"/>
              </w:rPr>
              <w:t>2</w:t>
            </w:r>
            <w:r w:rsidRPr="0025555E">
              <w:rPr>
                <w:sz w:val="18"/>
                <w:szCs w:val="18"/>
              </w:rPr>
              <w:t xml:space="preserve"> (95% CI)</w:t>
            </w:r>
          </w:p>
        </w:tc>
      </w:tr>
      <w:tr w:rsidR="0025555E" w:rsidRPr="0025555E" w:rsidTr="0025555E">
        <w:trPr>
          <w:trHeight w:val="143"/>
        </w:trPr>
        <w:tc>
          <w:tcPr>
            <w:tcW w:w="1944" w:type="dxa"/>
            <w:vMerge w:val="restart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Sex  </w:t>
            </w:r>
          </w:p>
        </w:tc>
        <w:tc>
          <w:tcPr>
            <w:tcW w:w="1750" w:type="dxa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Male 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  <w:bookmarkStart w:id="0" w:name="_GoBack"/>
            <w:bookmarkEnd w:id="0"/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</w:tr>
      <w:tr w:rsidR="0025555E" w:rsidRPr="0025555E" w:rsidTr="0025555E">
        <w:trPr>
          <w:trHeight w:val="143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Female 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0.77(0.5-1.20)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0.39(0.10-1.49)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0.87(0.6-1.25)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0.35(0.22-0.58)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0.38(0.21-0.68)*</w:t>
            </w:r>
          </w:p>
        </w:tc>
      </w:tr>
      <w:tr w:rsidR="0025555E" w:rsidRPr="0025555E" w:rsidTr="0025555E">
        <w:trPr>
          <w:trHeight w:val="143"/>
        </w:trPr>
        <w:tc>
          <w:tcPr>
            <w:tcW w:w="1944" w:type="dxa"/>
            <w:vMerge w:val="restart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Age 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color w:val="000000"/>
                <w:sz w:val="18"/>
                <w:szCs w:val="18"/>
              </w:rPr>
              <w:t>18-28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</w:tr>
      <w:tr w:rsidR="0025555E" w:rsidRPr="0025555E" w:rsidTr="0025555E">
        <w:trPr>
          <w:trHeight w:val="143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color w:val="000000"/>
                <w:sz w:val="18"/>
                <w:szCs w:val="18"/>
              </w:rPr>
              <w:t>29-38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1.45(0.65-3.25)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1.11(0.48-2.58)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1.0(0.61-1.63)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5.30(3.02-9.30)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3.33(1.78-6.27)*</w:t>
            </w:r>
          </w:p>
        </w:tc>
      </w:tr>
      <w:tr w:rsidR="0025555E" w:rsidRPr="0025555E" w:rsidTr="0025555E">
        <w:trPr>
          <w:trHeight w:val="143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color w:val="000000"/>
                <w:sz w:val="18"/>
                <w:szCs w:val="18"/>
              </w:rPr>
              <w:t>39-48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6.69(3.01-14.85)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4.27(1.8-10.13)*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1.69(0.96-3.0)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12.45(5.24-29.62)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5.16(2.0-13.3)*</w:t>
            </w:r>
          </w:p>
        </w:tc>
      </w:tr>
      <w:tr w:rsidR="0025555E" w:rsidRPr="0025555E" w:rsidTr="0025555E">
        <w:trPr>
          <w:trHeight w:val="154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color w:val="000000"/>
                <w:sz w:val="18"/>
                <w:szCs w:val="18"/>
              </w:rPr>
              <w:t>49-58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7.57(3.18-18.04)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4.53(1.77-11.6)*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1.0(0.51-1.93)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9.8(3.6-26.7)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4.12(1.32-12.85)*</w:t>
            </w:r>
          </w:p>
        </w:tc>
      </w:tr>
      <w:tr w:rsidR="0025555E" w:rsidRPr="0025555E" w:rsidTr="0025555E">
        <w:trPr>
          <w:trHeight w:val="154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color w:val="000000"/>
                <w:sz w:val="18"/>
                <w:szCs w:val="18"/>
              </w:rPr>
              <w:t>59-69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16.3(4.8-55.34)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8.62(2.36-31.5)*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0.50(0.16-1.56)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54"/>
        </w:trPr>
        <w:tc>
          <w:tcPr>
            <w:tcW w:w="1944" w:type="dxa"/>
            <w:vMerge w:val="restart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Smocking Status 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Never Smoked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54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Current Smoker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1.23(0.43-3.51)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10.66(2.51-45)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10.34(2.2-48.7)*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0.46(0.17-1.24)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4.85(0.64-36.9)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54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Previous Smoker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2.16(0.95-4.92)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2.27(0.27-19.2)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1.74(0.2-15.42)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1.37(0.62-3.06)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3.23(0.75-13.96)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54"/>
        </w:trPr>
        <w:tc>
          <w:tcPr>
            <w:tcW w:w="1944" w:type="dxa"/>
            <w:vMerge w:val="restart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Alcohol Drinking Status 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69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0.47(0.28-0.79)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1.68(0.96-2.93)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5.14(0.65-40.5)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1.01(0.68-1.5)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2.09(1.30-3.36)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75"/>
        </w:trPr>
        <w:tc>
          <w:tcPr>
            <w:tcW w:w="1944" w:type="dxa"/>
            <w:vMerge w:val="restart"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color w:val="000000"/>
                <w:sz w:val="18"/>
                <w:szCs w:val="18"/>
              </w:rPr>
              <w:t>Physical activity level (WHO Recommendation)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Vigorous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</w:tr>
      <w:tr w:rsidR="0025555E" w:rsidRPr="0025555E" w:rsidTr="0025555E">
        <w:trPr>
          <w:trHeight w:val="175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Moderate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0.73(0.46-1.17)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2.06(0.44-9.67)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1.03(0.68-1.54)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0.63(0.36-1.1)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0.68(0.35-1.31)</w:t>
            </w:r>
          </w:p>
        </w:tc>
      </w:tr>
      <w:tr w:rsidR="0025555E" w:rsidRPr="0025555E" w:rsidTr="0025555E">
        <w:trPr>
          <w:trHeight w:val="69"/>
        </w:trPr>
        <w:tc>
          <w:tcPr>
            <w:tcW w:w="1944" w:type="dxa"/>
            <w:vMerge/>
          </w:tcPr>
          <w:p w:rsidR="0025555E" w:rsidRPr="0025555E" w:rsidRDefault="0025555E" w:rsidP="00483A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Low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1.23(0.47-3.33)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0.00(0.00)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1.25(0.51-3.11)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 xml:space="preserve">      0.29(0.11-0.79)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0.21(0.06-0.77)</w:t>
            </w:r>
          </w:p>
        </w:tc>
      </w:tr>
      <w:tr w:rsidR="0025555E" w:rsidRPr="0025555E" w:rsidTr="0025555E">
        <w:trPr>
          <w:trHeight w:val="175"/>
        </w:trPr>
        <w:tc>
          <w:tcPr>
            <w:tcW w:w="1944" w:type="dxa"/>
            <w:vMerge w:val="restart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5555E">
              <w:rPr>
                <w:rFonts w:ascii="Times New Roman" w:hAnsi="Times New Roman"/>
                <w:sz w:val="18"/>
                <w:szCs w:val="18"/>
              </w:rPr>
              <w:t>Khat</w:t>
            </w:r>
            <w:proofErr w:type="spellEnd"/>
            <w:r w:rsidRPr="0025555E">
              <w:rPr>
                <w:rFonts w:ascii="Times New Roman" w:hAnsi="Times New Roman"/>
                <w:sz w:val="18"/>
                <w:szCs w:val="18"/>
              </w:rPr>
              <w:t xml:space="preserve"> Chewing Status of Respondent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Never Chewer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75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Current Chewer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0.38(0.09-1.67)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2.58(0.31-21.7)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1.19(0.47-2.99)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1.4(0.4-4.94)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75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Previous Chewer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1.18(0.61-2.28)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1.85(0.38-8.98)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1.46(0.81-2.62)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1.69(0.73-3.89)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85"/>
        </w:trPr>
        <w:tc>
          <w:tcPr>
            <w:tcW w:w="1944" w:type="dxa"/>
            <w:vMerge w:val="restart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5555E">
              <w:rPr>
                <w:rFonts w:ascii="Times New Roman" w:hAnsi="Times New Roman" w:cs="Times New Roman"/>
                <w:sz w:val="18"/>
                <w:szCs w:val="18"/>
              </w:rPr>
              <w:t>Days of fruit &amp; Vegetable Intake per Week (WHO Recommendation)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&gt;=5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79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3-5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1.8(0.67-4.79)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1.15(0.1-13.11)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0.87(0.38-1.97)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0.77(0.29-2.02)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79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&lt;3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1.22(0.52-2.9)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0.82(0.1-6.72)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0.87(0.44-1.73)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1.28(0.56-2.94)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96"/>
        </w:trPr>
        <w:tc>
          <w:tcPr>
            <w:tcW w:w="1944" w:type="dxa"/>
            <w:vMerge w:val="restart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Body Mass Index (BMI)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Normal 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</w:tr>
      <w:tr w:rsidR="0025555E" w:rsidRPr="0025555E" w:rsidTr="0025555E">
        <w:trPr>
          <w:trHeight w:val="207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Overweight 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1.51(0.94-2.42)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0.86(0.50-1.50)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1.52(0.37-6.17)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1.31(0.31-5.52)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2.23(1.5-3.33)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1.68(1.07-2.63)*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8.01(3.89-16.5)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4.87(2.23-10.6)*</w:t>
            </w:r>
          </w:p>
        </w:tc>
      </w:tr>
      <w:tr w:rsidR="0025555E" w:rsidRPr="0025555E" w:rsidTr="0025555E">
        <w:trPr>
          <w:trHeight w:val="79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Obese 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6.2(2.84-13.55)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2.31(0.95-5.59)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6.64(1.41-31.2)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3.18(0.57-17.8)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1.73(0.82-3.66)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1.25(0.57-2.74)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13.4(1.84-102)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9.29(1.07-80.71)*</w:t>
            </w:r>
          </w:p>
        </w:tc>
      </w:tr>
      <w:tr w:rsidR="0025555E" w:rsidRPr="0025555E" w:rsidTr="0025555E">
        <w:trPr>
          <w:trHeight w:val="185"/>
        </w:trPr>
        <w:tc>
          <w:tcPr>
            <w:tcW w:w="1944" w:type="dxa"/>
            <w:vMerge w:val="restart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5555E">
              <w:rPr>
                <w:rFonts w:ascii="Times New Roman" w:hAnsi="Times New Roman"/>
                <w:sz w:val="18"/>
                <w:szCs w:val="18"/>
              </w:rPr>
              <w:t>WHtR</w:t>
            </w:r>
            <w:proofErr w:type="spellEnd"/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Normal (&lt;0.5)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</w:tr>
      <w:tr w:rsidR="0025555E" w:rsidRPr="0025555E" w:rsidTr="0025555E">
        <w:trPr>
          <w:trHeight w:val="185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Obese (&gt;=0.5)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3.34(1.83-6.12)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1.66(0.81-3.40)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4.16(0.53-32.8)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2.37(1.55-3.62)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1.74(1.07-2.81)*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115(44-298)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312(78-1245)*</w:t>
            </w:r>
          </w:p>
        </w:tc>
      </w:tr>
      <w:tr w:rsidR="0025555E" w:rsidRPr="0025555E" w:rsidTr="0025555E">
        <w:trPr>
          <w:trHeight w:val="79"/>
        </w:trPr>
        <w:tc>
          <w:tcPr>
            <w:tcW w:w="1944" w:type="dxa"/>
            <w:vMerge w:val="restart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Raised Blood Pressure (&gt;=140/90 mmHg)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Normal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96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Hypertension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6.10(1.72-20.9)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4.8(1.24-18.62)*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0.97(0.63-1.51)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4.43(1.98-9.91)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90"/>
        </w:trPr>
        <w:tc>
          <w:tcPr>
            <w:tcW w:w="1944" w:type="dxa"/>
            <w:vMerge w:val="restart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 xml:space="preserve">Raised Blood Glucose </w:t>
            </w:r>
            <w:r w:rsidRPr="0025555E">
              <w:rPr>
                <w:rFonts w:ascii="Times New Roman" w:hAnsi="Times New Roman"/>
                <w:sz w:val="18"/>
                <w:szCs w:val="18"/>
              </w:rPr>
              <w:lastRenderedPageBreak/>
              <w:t>Level (&gt;=126mg/dl)</w:t>
            </w:r>
          </w:p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lastRenderedPageBreak/>
              <w:t>Normal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90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Hyperglycemia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6.01(1.72-20.95)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2.20(0.56-8.61)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0.57(0.17-1.99)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2.51(0.32-19.85)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22"/>
        </w:trPr>
        <w:tc>
          <w:tcPr>
            <w:tcW w:w="1944" w:type="dxa"/>
            <w:vMerge w:val="restart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lastRenderedPageBreak/>
              <w:t>Lipid Profile</w:t>
            </w: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Normal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1.00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  <w:tr w:rsidR="0025555E" w:rsidRPr="0025555E" w:rsidTr="0025555E">
        <w:trPr>
          <w:trHeight w:val="122"/>
        </w:trPr>
        <w:tc>
          <w:tcPr>
            <w:tcW w:w="1944" w:type="dxa"/>
            <w:vMerge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50" w:type="dxa"/>
            <w:vAlign w:val="center"/>
          </w:tcPr>
          <w:p w:rsidR="0025555E" w:rsidRPr="0025555E" w:rsidRDefault="0025555E" w:rsidP="00483A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5555E">
              <w:rPr>
                <w:rFonts w:ascii="Times New Roman" w:hAnsi="Times New Roman"/>
                <w:sz w:val="18"/>
                <w:szCs w:val="18"/>
              </w:rPr>
              <w:t>Dyslipidemia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0.97(0.63-1.51)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0.57(0.17-1.99)</w:t>
            </w:r>
          </w:p>
        </w:tc>
        <w:tc>
          <w:tcPr>
            <w:tcW w:w="1433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458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NA</w:t>
            </w:r>
          </w:p>
        </w:tc>
        <w:tc>
          <w:tcPr>
            <w:tcW w:w="1555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1.89(1.17-3.04)</w:t>
            </w:r>
          </w:p>
        </w:tc>
        <w:tc>
          <w:tcPr>
            <w:tcW w:w="1652" w:type="dxa"/>
          </w:tcPr>
          <w:p w:rsidR="0025555E" w:rsidRPr="0025555E" w:rsidRDefault="0025555E" w:rsidP="00483A86">
            <w:pPr>
              <w:spacing w:after="0"/>
              <w:jc w:val="center"/>
              <w:rPr>
                <w:sz w:val="18"/>
                <w:szCs w:val="18"/>
              </w:rPr>
            </w:pPr>
            <w:r w:rsidRPr="0025555E">
              <w:rPr>
                <w:sz w:val="18"/>
                <w:szCs w:val="18"/>
              </w:rPr>
              <w:t>-</w:t>
            </w:r>
          </w:p>
        </w:tc>
      </w:tr>
    </w:tbl>
    <w:p w:rsidR="00C308F9" w:rsidRDefault="00C308F9"/>
    <w:sectPr w:rsidR="00C308F9" w:rsidSect="0025555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55E"/>
    <w:rsid w:val="0025555E"/>
    <w:rsid w:val="00C3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55E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55E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2020-12-05T01:10:00Z</dcterms:created>
  <dcterms:modified xsi:type="dcterms:W3CDTF">2020-12-05T01:12:00Z</dcterms:modified>
</cp:coreProperties>
</file>