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5B3" w:rsidRDefault="002875B3" w:rsidP="0014516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B0E">
        <w:rPr>
          <w:rFonts w:ascii="Times New Roman" w:hAnsi="Times New Roman" w:cs="Times New Roman"/>
          <w:sz w:val="24"/>
          <w:szCs w:val="24"/>
        </w:rPr>
        <w:t xml:space="preserve">Table </w:t>
      </w:r>
      <w:r w:rsidRPr="00432B0E">
        <w:rPr>
          <w:rFonts w:ascii="Times New Roman" w:hAnsi="Times New Roman" w:cs="Times New Roman"/>
          <w:sz w:val="24"/>
          <w:szCs w:val="24"/>
        </w:rPr>
        <w:fldChar w:fldCharType="begin"/>
      </w:r>
      <w:r w:rsidRPr="00432B0E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432B0E">
        <w:rPr>
          <w:rFonts w:ascii="Times New Roman" w:hAnsi="Times New Roman" w:cs="Times New Roman"/>
          <w:sz w:val="24"/>
          <w:szCs w:val="24"/>
        </w:rPr>
        <w:fldChar w:fldCharType="separate"/>
      </w:r>
      <w:r w:rsidRPr="00432B0E">
        <w:rPr>
          <w:rFonts w:ascii="Times New Roman" w:hAnsi="Times New Roman" w:cs="Times New Roman"/>
          <w:sz w:val="24"/>
          <w:szCs w:val="24"/>
        </w:rPr>
        <w:t>5</w:t>
      </w:r>
      <w:r w:rsidRPr="00432B0E">
        <w:rPr>
          <w:rFonts w:ascii="Times New Roman" w:hAnsi="Times New Roman" w:cs="Times New Roman"/>
          <w:sz w:val="24"/>
          <w:szCs w:val="24"/>
        </w:rPr>
        <w:fldChar w:fldCharType="end"/>
      </w:r>
      <w:r w:rsidRPr="00432B0E">
        <w:rPr>
          <w:rFonts w:ascii="Times New Roman" w:hAnsi="Times New Roman" w:cs="Times New Roman"/>
          <w:sz w:val="24"/>
          <w:szCs w:val="24"/>
        </w:rPr>
        <w:t xml:space="preserve"> Bivariate and Multivariate analyses of risk factor components for Metabolic Syndrome of study subjects. EPHI, Addis Ababa, Ethiopia, 2018 (n=450)</w:t>
      </w:r>
    </w:p>
    <w:tbl>
      <w:tblPr>
        <w:tblpPr w:leftFromText="180" w:rightFromText="180" w:vertAnchor="text" w:tblpY="1"/>
        <w:tblOverlap w:val="never"/>
        <w:tblW w:w="15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63"/>
        <w:gridCol w:w="2275"/>
        <w:gridCol w:w="1991"/>
        <w:gridCol w:w="2222"/>
        <w:gridCol w:w="2469"/>
        <w:gridCol w:w="2422"/>
      </w:tblGrid>
      <w:tr w:rsidR="002875B3" w:rsidRPr="002875B3" w:rsidTr="00145163">
        <w:trPr>
          <w:trHeight w:val="70"/>
        </w:trPr>
        <w:tc>
          <w:tcPr>
            <w:tcW w:w="5938" w:type="dxa"/>
            <w:gridSpan w:val="2"/>
            <w:vMerge w:val="restart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bookmarkStart w:id="0" w:name="_GoBack"/>
            <w:bookmarkEnd w:id="0"/>
            <w:r w:rsidRPr="002875B3">
              <w:rPr>
                <w:rFonts w:ascii="Times New Roman" w:hAnsi="Times New Roman"/>
                <w:sz w:val="20"/>
                <w:szCs w:val="16"/>
              </w:rPr>
              <w:t>Characteristics</w:t>
            </w:r>
          </w:p>
        </w:tc>
        <w:tc>
          <w:tcPr>
            <w:tcW w:w="4213" w:type="dxa"/>
            <w:gridSpan w:val="2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MS- IDF</w:t>
            </w:r>
          </w:p>
        </w:tc>
        <w:tc>
          <w:tcPr>
            <w:tcW w:w="4891" w:type="dxa"/>
            <w:gridSpan w:val="2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MS- NCEP ATP IIII</w:t>
            </w:r>
          </w:p>
        </w:tc>
      </w:tr>
      <w:tr w:rsidR="002875B3" w:rsidRPr="002875B3" w:rsidTr="00145163">
        <w:trPr>
          <w:trHeight w:val="70"/>
        </w:trPr>
        <w:tc>
          <w:tcPr>
            <w:tcW w:w="5938" w:type="dxa"/>
            <w:gridSpan w:val="2"/>
            <w:vMerge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COR (95% CI)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AOR (95% CI)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COR (95% CI)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AOR (95% CI)</w:t>
            </w:r>
          </w:p>
        </w:tc>
      </w:tr>
      <w:tr w:rsidR="002875B3" w:rsidRPr="002875B3" w:rsidTr="00145163">
        <w:trPr>
          <w:trHeight w:val="153"/>
        </w:trPr>
        <w:tc>
          <w:tcPr>
            <w:tcW w:w="3663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Sex</w:t>
            </w:r>
          </w:p>
        </w:tc>
        <w:tc>
          <w:tcPr>
            <w:tcW w:w="2275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Male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53"/>
        </w:trPr>
        <w:tc>
          <w:tcPr>
            <w:tcW w:w="3663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Female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0.42(0.27-0.64)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0.32(0.16-0.64)*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0.66(0.4-1.09)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53"/>
        </w:trPr>
        <w:tc>
          <w:tcPr>
            <w:tcW w:w="3663" w:type="dxa"/>
            <w:vMerge w:val="restart"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Age of Respondents</w:t>
            </w:r>
          </w:p>
          <w:p w:rsidR="002875B3" w:rsidRPr="002875B3" w:rsidRDefault="002875B3" w:rsidP="002875B3">
            <w:pPr>
              <w:jc w:val="right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color w:val="000000"/>
                <w:sz w:val="20"/>
                <w:szCs w:val="16"/>
              </w:rPr>
              <w:t>18-28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53"/>
        </w:trPr>
        <w:tc>
          <w:tcPr>
            <w:tcW w:w="3663" w:type="dxa"/>
            <w:vMerge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color w:val="000000"/>
                <w:sz w:val="20"/>
                <w:szCs w:val="16"/>
              </w:rPr>
              <w:t>29-38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3.05(1.36-6.81)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2.1(0.74-5.95)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3.78(1.09-13.0)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1.24(0.48-7.6)</w:t>
            </w:r>
          </w:p>
        </w:tc>
      </w:tr>
      <w:tr w:rsidR="002875B3" w:rsidRPr="002875B3" w:rsidTr="00145163">
        <w:trPr>
          <w:trHeight w:val="129"/>
        </w:trPr>
        <w:tc>
          <w:tcPr>
            <w:tcW w:w="3663" w:type="dxa"/>
            <w:vMerge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color w:val="000000"/>
                <w:sz w:val="20"/>
                <w:szCs w:val="16"/>
              </w:rPr>
              <w:t>39-48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9.41(4.12-21.5)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5.38(1.72-16.8)*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13.6(3.97-46.4)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3.84(0.79-18.8)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color w:val="000000"/>
                <w:sz w:val="20"/>
                <w:szCs w:val="16"/>
              </w:rPr>
              <w:t>49-58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7.42(3.0-18.29)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4.0(1.09-14.7)*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14(3.88-50.4)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3.3(0.6-18.05)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/>
          </w:tcPr>
          <w:p w:rsidR="002875B3" w:rsidRPr="002875B3" w:rsidRDefault="002875B3" w:rsidP="002875B3">
            <w:pPr>
              <w:spacing w:after="0" w:line="240" w:lineRule="auto"/>
              <w:ind w:left="-36"/>
              <w:jc w:val="both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/>
                <w:color w:val="000000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color w:val="000000"/>
                <w:sz w:val="20"/>
                <w:szCs w:val="16"/>
              </w:rPr>
              <w:t>59-69</w:t>
            </w:r>
          </w:p>
        </w:tc>
        <w:tc>
          <w:tcPr>
            <w:tcW w:w="199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18.5(5.34-64.3)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81.2(9.4-669)*</w:t>
            </w:r>
          </w:p>
        </w:tc>
        <w:tc>
          <w:tcPr>
            <w:tcW w:w="2469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18.8(4.06-86.9)</w:t>
            </w:r>
          </w:p>
        </w:tc>
        <w:tc>
          <w:tcPr>
            <w:tcW w:w="2421" w:type="dxa"/>
          </w:tcPr>
          <w:p w:rsidR="002875B3" w:rsidRPr="002875B3" w:rsidRDefault="002875B3" w:rsidP="002875B3">
            <w:pPr>
              <w:spacing w:after="0" w:line="240" w:lineRule="auto"/>
              <w:ind w:left="-36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15(1.74-129)*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Smocking Status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Never Smoke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59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Current Smoker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1.69(0.65-4.4)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1.46(0.15-14)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2.55(0.94-6.97)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33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Previous Smoker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2.89(1.3-6.44)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0.88(0.23-3.38)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2.04(0.82-5.05)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93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Alcohol Drinking Status of Respondent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No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Yes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1.72(1.08-2.74)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1.28(0.62-2.63)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1.72(0.97-3.04)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28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Physical activity level (WHO Recommendation)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Vigorous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80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Moderate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0.93(0.59-1.47)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0.84(0.49-1.44)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Low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0.94(0.34-2.58)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1.34(0.45-3.98)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70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proofErr w:type="spellStart"/>
            <w:r w:rsidRPr="002875B3">
              <w:rPr>
                <w:rFonts w:ascii="Times New Roman" w:hAnsi="Times New Roman"/>
                <w:sz w:val="20"/>
                <w:szCs w:val="16"/>
              </w:rPr>
              <w:t>Khat</w:t>
            </w:r>
            <w:proofErr w:type="spellEnd"/>
            <w:r w:rsidRPr="002875B3">
              <w:rPr>
                <w:rFonts w:ascii="Times New Roman" w:hAnsi="Times New Roman"/>
                <w:sz w:val="20"/>
                <w:szCs w:val="16"/>
              </w:rPr>
              <w:t xml:space="preserve"> Chewing Status of Respondent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Never Chewed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44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Current Chewer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1.32(0.49-3.58)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1.51(0.48-4.7)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1.41(0.21-9.3)</w:t>
            </w:r>
          </w:p>
        </w:tc>
      </w:tr>
      <w:tr w:rsidR="002875B3" w:rsidRPr="002875B3" w:rsidTr="00145163">
        <w:trPr>
          <w:trHeight w:val="182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ind w:right="60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Previous Chewer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1.79(0.98-3.28)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2.08(1.06-4.08)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1.66(0.66-4.58)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Serving of Fruit and Vegetable per day (WHO) recommendation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&gt;=5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79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&lt;5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0.38(0.02-6.1)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-</w:t>
            </w:r>
          </w:p>
        </w:tc>
      </w:tr>
      <w:tr w:rsidR="002875B3" w:rsidRPr="002875B3" w:rsidTr="00145163">
        <w:trPr>
          <w:trHeight w:val="115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Body Mass Index (BMI)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Normal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66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Overweight 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4.0(2.77-7.0)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4.67(2.27-9.6)*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9.04(4.65-17.6)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5.28(2.12-13.7)*</w:t>
            </w:r>
          </w:p>
        </w:tc>
      </w:tr>
      <w:tr w:rsidR="002875B3" w:rsidRPr="002875B3" w:rsidTr="00145163">
        <w:trPr>
          <w:trHeight w:val="187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Obese 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5.45(2.48-11.9)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2.2(0.6-8.05)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11(4.3-28.1)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1.75(0.49-6.21)</w:t>
            </w:r>
          </w:p>
        </w:tc>
      </w:tr>
      <w:tr w:rsidR="002875B3" w:rsidRPr="002875B3" w:rsidTr="00145163">
        <w:trPr>
          <w:trHeight w:val="190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Blood Pressure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Normal 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80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Hypertensive 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6.05(3.77-9.7)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28(9.46-86.9)*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3.75(2.22-6.32)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4.55(1.88-11.01)*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Blood Glucose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Normal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89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Hyperglycemia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28.5(3.61-225)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126(6.7-2374)*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9.55(2.72-33.5)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41.5(4.75-362.9)*</w:t>
            </w:r>
          </w:p>
        </w:tc>
      </w:tr>
      <w:tr w:rsidR="002875B3" w:rsidRPr="002875B3" w:rsidTr="00145163">
        <w:trPr>
          <w:trHeight w:val="192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Dyslipidemia Based on NCEP-ATPII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Normal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198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Dyslipidemia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14.8(8.12-27)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210(52-849)*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13.9(6.2-30.8)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85.5(21.9-332)*</w:t>
            </w:r>
          </w:p>
        </w:tc>
      </w:tr>
      <w:tr w:rsidR="002875B3" w:rsidRPr="002875B3" w:rsidTr="00145163">
        <w:trPr>
          <w:trHeight w:val="201"/>
        </w:trPr>
        <w:tc>
          <w:tcPr>
            <w:tcW w:w="3663" w:type="dxa"/>
            <w:vMerge w:val="restart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Waist Circumference </w:t>
            </w: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Normal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NA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NA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1.00</w:t>
            </w:r>
          </w:p>
        </w:tc>
      </w:tr>
      <w:tr w:rsidR="002875B3" w:rsidRPr="002875B3" w:rsidTr="00145163">
        <w:trPr>
          <w:trHeight w:val="78"/>
        </w:trPr>
        <w:tc>
          <w:tcPr>
            <w:tcW w:w="3663" w:type="dxa"/>
            <w:vMerge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</w:p>
        </w:tc>
        <w:tc>
          <w:tcPr>
            <w:tcW w:w="2275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 xml:space="preserve">Centrally Obese </w:t>
            </w:r>
          </w:p>
        </w:tc>
        <w:tc>
          <w:tcPr>
            <w:tcW w:w="199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NA</w:t>
            </w:r>
          </w:p>
        </w:tc>
        <w:tc>
          <w:tcPr>
            <w:tcW w:w="2222" w:type="dxa"/>
          </w:tcPr>
          <w:p w:rsidR="002875B3" w:rsidRPr="002875B3" w:rsidRDefault="002875B3" w:rsidP="002875B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NA</w:t>
            </w:r>
          </w:p>
        </w:tc>
        <w:tc>
          <w:tcPr>
            <w:tcW w:w="2469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7.05(4.09-12.16</w:t>
            </w:r>
          </w:p>
        </w:tc>
        <w:tc>
          <w:tcPr>
            <w:tcW w:w="2421" w:type="dxa"/>
            <w:vAlign w:val="center"/>
          </w:tcPr>
          <w:p w:rsidR="002875B3" w:rsidRPr="002875B3" w:rsidRDefault="002875B3" w:rsidP="002875B3">
            <w:pPr>
              <w:spacing w:after="0" w:line="240" w:lineRule="auto"/>
              <w:rPr>
                <w:rFonts w:ascii="Times New Roman" w:hAnsi="Times New Roman"/>
                <w:sz w:val="20"/>
                <w:szCs w:val="16"/>
              </w:rPr>
            </w:pPr>
            <w:r w:rsidRPr="002875B3">
              <w:rPr>
                <w:rFonts w:ascii="Times New Roman" w:hAnsi="Times New Roman"/>
                <w:sz w:val="20"/>
                <w:szCs w:val="16"/>
              </w:rPr>
              <w:t>9.56(4.11-22.3)*</w:t>
            </w:r>
          </w:p>
        </w:tc>
      </w:tr>
    </w:tbl>
    <w:p w:rsidR="00145163" w:rsidRDefault="002875B3" w:rsidP="00145163">
      <w:pPr>
        <w:spacing w:after="0"/>
        <w:jc w:val="both"/>
        <w:rPr>
          <w:rFonts w:ascii="Times New Roman" w:hAnsi="Times New Roman"/>
          <w:b/>
          <w:szCs w:val="24"/>
        </w:rPr>
      </w:pPr>
      <w:r w:rsidRPr="00FA684F">
        <w:rPr>
          <w:rFonts w:ascii="Times New Roman" w:hAnsi="Times New Roman"/>
          <w:b/>
          <w:i/>
          <w:sz w:val="18"/>
          <w:szCs w:val="18"/>
        </w:rPr>
        <w:t>MS-IDF=metabolic syndrome based on IDF (Waist Circumference &gt;=94/80cm plus any two of the following 1) raised blood pressure &gt;=130/85, 2) raised fasting blood glucose&gt;=100mg/dl, 3) Fasting triglyceride &gt;=150mg/dl and 4) HDL &lt;40/50 for Male/Female. MS-NCEP ATPII Metabolic Syndrome based on ATP III defined by any three of the following 1) waist circumference ≥ 102/88 male/female 2) Hypertriglyceridemia: serum TG ≥ 150 mg/dl, 3)Low HDL-C &lt; 40/50mg/dl male/female, 4) Hypertension: SBP ≥ 130 mmHg or DBP ≥ 85 mmHg and  5) Fasting plasma glucose ≥ 110 mg/dl</w:t>
      </w:r>
      <w:r w:rsidRPr="00FA684F">
        <w:rPr>
          <w:rFonts w:ascii="Times New Roman" w:hAnsi="Times New Roman"/>
          <w:b/>
          <w:szCs w:val="24"/>
        </w:rPr>
        <w:t xml:space="preserve">  </w:t>
      </w:r>
    </w:p>
    <w:p w:rsidR="00C308F9" w:rsidRDefault="002875B3" w:rsidP="00145163">
      <w:pPr>
        <w:spacing w:after="0"/>
        <w:jc w:val="both"/>
      </w:pPr>
      <w:r w:rsidRPr="00FA684F">
        <w:rPr>
          <w:rFonts w:ascii="Times New Roman" w:hAnsi="Times New Roman"/>
          <w:b/>
          <w:szCs w:val="24"/>
        </w:rPr>
        <w:t>*</w:t>
      </w:r>
      <w:r w:rsidRPr="00FA684F">
        <w:rPr>
          <w:rFonts w:ascii="Times New Roman" w:hAnsi="Times New Roman"/>
          <w:b/>
          <w:i/>
          <w:sz w:val="18"/>
          <w:szCs w:val="18"/>
        </w:rPr>
        <w:t>significant during multi logistic analysis</w:t>
      </w:r>
    </w:p>
    <w:sectPr w:rsidR="00C308F9" w:rsidSect="00145163">
      <w:pgSz w:w="16838" w:h="11906" w:orient="landscape"/>
      <w:pgMar w:top="707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23D" w:rsidRDefault="00EA123D" w:rsidP="002875B3">
      <w:pPr>
        <w:spacing w:after="0" w:line="240" w:lineRule="auto"/>
      </w:pPr>
      <w:r>
        <w:separator/>
      </w:r>
    </w:p>
  </w:endnote>
  <w:endnote w:type="continuationSeparator" w:id="0">
    <w:p w:rsidR="00EA123D" w:rsidRDefault="00EA123D" w:rsidP="00287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23D" w:rsidRDefault="00EA123D" w:rsidP="002875B3">
      <w:pPr>
        <w:spacing w:after="0" w:line="240" w:lineRule="auto"/>
      </w:pPr>
      <w:r>
        <w:separator/>
      </w:r>
    </w:p>
  </w:footnote>
  <w:footnote w:type="continuationSeparator" w:id="0">
    <w:p w:rsidR="00EA123D" w:rsidRDefault="00EA123D" w:rsidP="002875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5B3"/>
    <w:rsid w:val="00145163"/>
    <w:rsid w:val="002875B3"/>
    <w:rsid w:val="00C308F9"/>
    <w:rsid w:val="00EA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5B3"/>
    <w:pPr>
      <w:spacing w:after="160" w:line="259" w:lineRule="auto"/>
    </w:pPr>
    <w:rPr>
      <w:lang w:val="en-US"/>
    </w:rPr>
  </w:style>
  <w:style w:type="paragraph" w:styleId="Heading2">
    <w:name w:val="heading 2"/>
    <w:aliases w:val="Chapter Title"/>
    <w:basedOn w:val="Normal"/>
    <w:next w:val="Normal"/>
    <w:link w:val="Heading2Char"/>
    <w:unhideWhenUsed/>
    <w:qFormat/>
    <w:rsid w:val="002875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Chapter Title Char"/>
    <w:basedOn w:val="DefaultParagraphFont"/>
    <w:link w:val="Heading2"/>
    <w:rsid w:val="002875B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87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5B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87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5B3"/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5B3"/>
    <w:pPr>
      <w:spacing w:after="160" w:line="259" w:lineRule="auto"/>
    </w:pPr>
    <w:rPr>
      <w:lang w:val="en-US"/>
    </w:rPr>
  </w:style>
  <w:style w:type="paragraph" w:styleId="Heading2">
    <w:name w:val="heading 2"/>
    <w:aliases w:val="Chapter Title"/>
    <w:basedOn w:val="Normal"/>
    <w:next w:val="Normal"/>
    <w:link w:val="Heading2Char"/>
    <w:unhideWhenUsed/>
    <w:qFormat/>
    <w:rsid w:val="002875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Chapter Title Char"/>
    <w:basedOn w:val="DefaultParagraphFont"/>
    <w:link w:val="Heading2"/>
    <w:rsid w:val="002875B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87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5B3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875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5B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2020-12-05T01:24:00Z</dcterms:created>
  <dcterms:modified xsi:type="dcterms:W3CDTF">2020-12-05T02:06:00Z</dcterms:modified>
</cp:coreProperties>
</file>