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FA6E9B" w14:textId="77777777" w:rsidR="00F23CF5" w:rsidRPr="00D3125C" w:rsidRDefault="00F23CF5" w:rsidP="00F23CF5">
      <w:pPr>
        <w:jc w:val="both"/>
        <w:rPr>
          <w:rFonts w:ascii="Times New Roman" w:hAnsi="Times New Roman" w:cs="Times New Roman"/>
          <w:sz w:val="24"/>
          <w:szCs w:val="24"/>
          <w:lang w:val="en-GB"/>
        </w:rPr>
      </w:pPr>
      <w:r w:rsidRPr="00D3125C">
        <w:rPr>
          <w:rFonts w:ascii="Times New Roman" w:hAnsi="Times New Roman" w:cs="Times New Roman"/>
          <w:sz w:val="24"/>
          <w:szCs w:val="24"/>
          <w:lang w:val="en-GB"/>
        </w:rPr>
        <w:t xml:space="preserve">To calculate aboveground biomass we adopted the equation proposed by </w:t>
      </w:r>
      <w:proofErr w:type="spellStart"/>
      <w:r w:rsidRPr="00D3125C">
        <w:rPr>
          <w:rFonts w:ascii="Times New Roman" w:hAnsi="Times New Roman" w:cs="Times New Roman"/>
          <w:sz w:val="24"/>
          <w:szCs w:val="24"/>
          <w:lang w:val="en-GB"/>
        </w:rPr>
        <w:t>Chave</w:t>
      </w:r>
      <w:proofErr w:type="spellEnd"/>
      <w:r w:rsidRPr="00D3125C">
        <w:rPr>
          <w:rFonts w:ascii="Times New Roman" w:hAnsi="Times New Roman" w:cs="Times New Roman"/>
          <w:sz w:val="24"/>
          <w:szCs w:val="24"/>
          <w:lang w:val="en-GB"/>
        </w:rPr>
        <w:t xml:space="preserve"> et al. </w:t>
      </w:r>
      <w:r w:rsidRPr="00D3125C">
        <w:rPr>
          <w:rFonts w:ascii="Times New Roman" w:hAnsi="Times New Roman" w:cs="Times New Roman"/>
          <w:sz w:val="24"/>
          <w:szCs w:val="24"/>
          <w:lang w:val="en-GB"/>
        </w:rPr>
        <w:fldChar w:fldCharType="begin" w:fldLock="1"/>
      </w:r>
      <w:r>
        <w:rPr>
          <w:rFonts w:ascii="Times New Roman" w:hAnsi="Times New Roman" w:cs="Times New Roman"/>
          <w:sz w:val="24"/>
          <w:szCs w:val="24"/>
          <w:lang w:val="en-GB"/>
        </w:rPr>
        <w:instrText>ADDIN CSL_CITATION {"citationItems":[{"id":"ITEM-1","itemData":{"DOI":"10.1111/gcb.12629","ISBN":"1365-2486","ISSN":"13541013","PMID":"24817483","abstract":"Terrestrial carbon stock mapping is important for the successful implementation of climate change mitigation policies. Its accuracy depends on the availability of reliable allometric models to infer oven-dry aboveground biomass of trees from census data. The degree of uncertainty associated with previously published pantropical aboveground biomass allometries is large. We analyzed a global database of directly harvested trees at 58 sites, spanning a wide range of climatic conditions and vegetation types (4004 trees ≥ 5 cm trunk diameter). When trunk diameter, total tree height, and wood specific gravity were included in the aboveground biomass model as covariates, a single model was found to hold across tropical vegetation types, with no detectable effect of region or environmental factors. The mean percent bias and variance of this model was only slightly higher than that of locally fitted models. Wood specific gravity was an important predictor of aboveground biomass, especially when including a much broader range of vegetation types than previous studies. The generic tree diameter–height relationship depended linearly on a bioclimatic stress variable E, which compounds indices of temperature variability, precipitation variability, and drought intensity. For cases in which total tree height is unavailable for aboveground biomass estimation, a pantropical model incorporating wood density, trunk diameter, and the variable E outperformed previously published models without height. However, to minimize bias, the development of locally derived diameter–height relationships is advised whenever possible. Both new allometric models should contribute to improve the accuracy of biomass assessment protocols in tropical vegetation types, and to advancing our understanding of architectural and evolutionary constraints on woody plant development.","author":[{"dropping-particle":"","family":"Chave","given":"Jérôme","non-dropping-particle":"","parse-names":false,"suffix":""},{"dropping-particle":"","family":"Réjou-Méchain","given":"Maxime","non-dropping-particle":"","parse-names":false,"suffix":""},{"dropping-particle":"","family":"Búrquez","given":"Alberto","non-dropping-particle":"","parse-names":false,"suffix":""},{"dropping-particle":"","family":"Chidumayo","given":"Emmanuel N","non-dropping-particle":"","parse-names":false,"suffix":""},{"dropping-particle":"","family":"Colgan","given":"Matthew S","non-dropping-particle":"","parse-names":false,"suffix":""},{"dropping-particle":"","family":"Delitti","given":"Welington Braz Carvalho","non-dropping-particle":"","parse-names":false,"suffix":""},{"dropping-particle":"","family":"Duque","given":"Alvaro","non-dropping-particle":"","parse-names":false,"suffix":""},{"dropping-particle":"","family":"Eid","given":"Tron","non-dropping-particle":"","parse-names":false,"suffix":""},{"dropping-particle":"","family":"Fearnside","given":"Philip M","non-dropping-particle":"","parse-names":false,"suffix":""},{"dropping-particle":"","family":"Goodman","given":"Rosa C","non-dropping-particle":"","parse-names":false,"suffix":""},{"dropping-particle":"","family":"Henry","given":"Matieu","non-dropping-particle":"","parse-names":false,"suffix":""},{"dropping-particle":"","family":"Martínez-Yrízar","given":"Angelina","non-dropping-particle":"","parse-names":false,"suffix":""},{"dropping-particle":"","family":"Mugasha","given":"Wilson A","non-dropping-particle":"","parse-names":false,"suffix":""},{"dropping-particle":"","family":"Muller-Landau","given":"Helene C","non-dropping-particle":"","parse-names":false,"suffix":""},{"dropping-particle":"","family":"Mencuccini","given":"Maurizio","non-dropping-particle":"","parse-names":false,"suffix":""},{"dropping-particle":"","family":"Nelson","given":"Bruce W","non-dropping-particle":"","parse-names":false,"suffix":""},{"dropping-particle":"","family":"Ngomanda","given":"Alfred","non-dropping-particle":"","parse-names":false,"suffix":""},{"dropping-particle":"","family":"Nogueira","given":"Euler M","non-dropping-particle":"","parse-names":false,"suffix":""},{"dropping-particle":"","family":"Ortiz-Malavassi","given":"Edgar","non-dropping-particle":"","parse-names":false,"suffix":""},{"dropping-particle":"","family":"Pélissier","given":"Raphaël","non-dropping-particle":"","parse-names":false,"suffix":""},{"dropping-particle":"","family":"Ploton","given":"Pierre","non-dropping-particle":"","parse-names":false,"suffix":""},{"dropping-particle":"","family":"Ryan","given":"Casey M","non-dropping-particle":"","parse-names":false,"suffix":""},{"dropping-particle":"","family":"Saldarriaga","given":"Juan G","non-dropping-particle":"","parse-names":false,"suffix":""},{"dropping-particle":"","family":"Vieilledent","given":"Ghislain","non-dropping-particle":"","parse-names":false,"suffix":""}],"container-title":"Global Change Biology","id":"ITEM-1","issue":"10","issued":{"date-parts":[["2014","10"]]},"page":"3177-3190","title":"Improved allometric models to estimate the aboveground biomass of tropical trees","type":"article-journal","volume":"20"},"uris":["http://www.mendeley.com/documents/?uuid=1beb59e5-9f96-4962-a947-c5ad3a077830"]}],"mendeley":{"formattedCitation":"[51]","plainTextFormattedCitation":"[51]","previouslyFormattedCitation":"[51]"},"properties":{"noteIndex":0},"schema":"https://github.com/citation-style-language/schema/raw/master/csl-citation.json"}</w:instrText>
      </w:r>
      <w:r w:rsidRPr="00D3125C">
        <w:rPr>
          <w:rFonts w:ascii="Times New Roman" w:hAnsi="Times New Roman" w:cs="Times New Roman"/>
          <w:sz w:val="24"/>
          <w:szCs w:val="24"/>
          <w:lang w:val="en-GB"/>
        </w:rPr>
        <w:fldChar w:fldCharType="separate"/>
      </w:r>
      <w:r w:rsidRPr="008B6FDF">
        <w:rPr>
          <w:rFonts w:ascii="Times New Roman" w:hAnsi="Times New Roman" w:cs="Times New Roman"/>
          <w:noProof/>
          <w:sz w:val="24"/>
          <w:szCs w:val="24"/>
          <w:lang w:val="en-GB"/>
        </w:rPr>
        <w:t>[51]</w:t>
      </w:r>
      <w:r w:rsidRPr="00D3125C">
        <w:rPr>
          <w:rFonts w:ascii="Times New Roman" w:hAnsi="Times New Roman" w:cs="Times New Roman"/>
          <w:sz w:val="24"/>
          <w:szCs w:val="24"/>
          <w:lang w:val="en-GB"/>
        </w:rPr>
        <w:fldChar w:fldCharType="end"/>
      </w:r>
      <w:r w:rsidRPr="00D3125C">
        <w:rPr>
          <w:rFonts w:ascii="Times New Roman" w:hAnsi="Times New Roman" w:cs="Times New Roman"/>
          <w:sz w:val="24"/>
          <w:szCs w:val="24"/>
          <w:lang w:val="en-GB"/>
        </w:rPr>
        <w:t>,</w:t>
      </w:r>
      <w:r w:rsidRPr="002E4378">
        <w:rPr>
          <w:lang w:val="en-GB"/>
        </w:rPr>
        <w:t xml:space="preserve"> </w:t>
      </w:r>
      <w:r w:rsidRPr="00B05A72">
        <w:rPr>
          <w:rFonts w:ascii="Times New Roman" w:hAnsi="Times New Roman" w:cs="Times New Roman"/>
          <w:sz w:val="24"/>
          <w:szCs w:val="24"/>
          <w:lang w:val="en-GB"/>
        </w:rPr>
        <w:t>considered as the best fit equation for data for forest formations in the tropical region</w:t>
      </w:r>
      <w:r w:rsidRPr="00D3125C">
        <w:rPr>
          <w:rFonts w:ascii="Times New Roman" w:hAnsi="Times New Roman" w:cs="Times New Roman"/>
          <w:sz w:val="24"/>
          <w:szCs w:val="24"/>
          <w:lang w:val="en-GB"/>
        </w:rPr>
        <w:t xml:space="preserve"> and used the BIOMASS package </w:t>
      </w:r>
      <w:r w:rsidRPr="00D3125C">
        <w:rPr>
          <w:rFonts w:ascii="Times New Roman" w:hAnsi="Times New Roman"/>
          <w:sz w:val="24"/>
          <w:lang w:val="en-GB"/>
        </w:rPr>
        <w:fldChar w:fldCharType="begin" w:fldLock="1"/>
      </w:r>
      <w:r>
        <w:rPr>
          <w:rFonts w:ascii="Times New Roman" w:hAnsi="Times New Roman"/>
          <w:sz w:val="24"/>
          <w:lang w:val="en-GB"/>
        </w:rPr>
        <w:instrText>ADDIN CSL_CITATION {"citationItems":[{"id":"ITEM-1","itemData":{"author":[{"dropping-particle":"","family":"Rejou-Mechain","given":"Maxime","non-dropping-particle":"","parse-names":false,"suffix":""},{"dropping-particle":"","family":"Tanguy","given":"Ariane","non-dropping-particle":"","parse-names":false,"suffix":""},{"dropping-particle":"","family":"Piponiot","given":"Camille","non-dropping-particle":"","parse-names":false,"suffix":""},{"dropping-particle":"","family":"Chave","given":"Jérôme","non-dropping-particle":"","parse-names":false,"suffix":""},{"dropping-particle":"","family":"Herault","given":"Bruno","non-dropping-particle":"","parse-names":false,"suffix":""}],"id":"ITEM-1","issued":{"date-parts":[["2018"]]},"number":"1.2","title":"BIOMASS: Estimating Aboveground Biomass and Its Uncertainty in Tropical Forests","type":"article"},"uris":["http://www.mendeley.com/documents/?uuid=90db3ed2-6e4d-441b-8a49-180689291e08"]}],"mendeley":{"formattedCitation":"[52]","plainTextFormattedCitation":"[52]","previouslyFormattedCitation":"[52]"},"properties":{"noteIndex":0},"schema":"https://github.com/citation-style-language/schema/raw/master/csl-citation.json"}</w:instrText>
      </w:r>
      <w:r w:rsidRPr="00D3125C">
        <w:rPr>
          <w:rFonts w:ascii="Times New Roman" w:hAnsi="Times New Roman"/>
          <w:sz w:val="24"/>
          <w:lang w:val="en-GB"/>
        </w:rPr>
        <w:fldChar w:fldCharType="separate"/>
      </w:r>
      <w:r w:rsidRPr="008B6FDF">
        <w:rPr>
          <w:rFonts w:ascii="Times New Roman" w:hAnsi="Times New Roman"/>
          <w:noProof/>
          <w:sz w:val="24"/>
          <w:lang w:val="en-GB"/>
        </w:rPr>
        <w:t>[52]</w:t>
      </w:r>
      <w:r w:rsidRPr="00D3125C">
        <w:rPr>
          <w:rFonts w:ascii="Times New Roman" w:hAnsi="Times New Roman"/>
          <w:sz w:val="24"/>
          <w:lang w:val="en-GB"/>
        </w:rPr>
        <w:fldChar w:fldCharType="end"/>
      </w:r>
      <w:r w:rsidRPr="00D3125C">
        <w:rPr>
          <w:rFonts w:ascii="Times New Roman" w:hAnsi="Times New Roman" w:cs="Times New Roman"/>
          <w:sz w:val="24"/>
          <w:szCs w:val="24"/>
          <w:lang w:val="en-GB"/>
        </w:rPr>
        <w:t xml:space="preserve"> in software R </w:t>
      </w:r>
      <w:r w:rsidRPr="00D3125C">
        <w:rPr>
          <w:rFonts w:ascii="Times New Roman" w:hAnsi="Times New Roman" w:cs="Times New Roman"/>
          <w:sz w:val="24"/>
          <w:szCs w:val="24"/>
          <w:lang w:val="en-GB"/>
        </w:rPr>
        <w:fldChar w:fldCharType="begin" w:fldLock="1"/>
      </w:r>
      <w:r>
        <w:rPr>
          <w:rFonts w:ascii="Times New Roman" w:hAnsi="Times New Roman" w:cs="Times New Roman"/>
          <w:sz w:val="24"/>
          <w:szCs w:val="24"/>
          <w:lang w:val="en-GB"/>
        </w:rPr>
        <w:instrText>ADDIN CSL_CITATION {"citationItems":[{"id":"ITEM-1","itemData":{"author":[{"dropping-particle":"","family":"R Core Team","given":"","non-dropping-particle":"","parse-names":false,"suffix":""}],"id":"ITEM-1","issued":{"date-parts":[["2017"]]},"number":"3.4.1","publisher":"R Foundation for Statistical Computing","publisher-place":"Vienna, Austria","title":"R: a language and environment for statistical computing","type":"article"},"uris":["http://www.mendeley.com/documents/?uuid=67846fa0-bf89-4706-a41d-0e90fb5661a0"]}],"mendeley":{"formattedCitation":"[53]","plainTextFormattedCitation":"[53]","previouslyFormattedCitation":"[53]"},"properties":{"noteIndex":0},"schema":"https://github.com/citation-style-language/schema/raw/master/csl-citation.json"}</w:instrText>
      </w:r>
      <w:r w:rsidRPr="00D3125C">
        <w:rPr>
          <w:rFonts w:ascii="Times New Roman" w:hAnsi="Times New Roman" w:cs="Times New Roman"/>
          <w:sz w:val="24"/>
          <w:szCs w:val="24"/>
          <w:lang w:val="en-GB"/>
        </w:rPr>
        <w:fldChar w:fldCharType="separate"/>
      </w:r>
      <w:r w:rsidRPr="008B6FDF">
        <w:rPr>
          <w:rFonts w:ascii="Times New Roman" w:hAnsi="Times New Roman" w:cs="Times New Roman"/>
          <w:noProof/>
          <w:sz w:val="24"/>
          <w:szCs w:val="24"/>
          <w:lang w:val="en-GB"/>
        </w:rPr>
        <w:t>[53]</w:t>
      </w:r>
      <w:r w:rsidRPr="00D3125C">
        <w:rPr>
          <w:rFonts w:ascii="Times New Roman" w:hAnsi="Times New Roman" w:cs="Times New Roman"/>
          <w:sz w:val="24"/>
          <w:szCs w:val="24"/>
          <w:lang w:val="en-GB"/>
        </w:rPr>
        <w:fldChar w:fldCharType="end"/>
      </w:r>
      <w:r w:rsidRPr="00D3125C">
        <w:rPr>
          <w:rFonts w:ascii="Times New Roman" w:hAnsi="Times New Roman" w:cs="Times New Roman"/>
          <w:sz w:val="24"/>
          <w:szCs w:val="24"/>
          <w:lang w:val="en-GB"/>
        </w:rPr>
        <w:t xml:space="preserve">. </w:t>
      </w:r>
    </w:p>
    <w:p w14:paraId="6671DE50" w14:textId="77777777" w:rsidR="00F23CF5" w:rsidRPr="00D3125C" w:rsidRDefault="00F23CF5" w:rsidP="00F23CF5">
      <w:pPr>
        <w:autoSpaceDE w:val="0"/>
        <w:autoSpaceDN w:val="0"/>
        <w:adjustRightInd w:val="0"/>
        <w:spacing w:after="0" w:line="360" w:lineRule="auto"/>
        <w:ind w:firstLine="709"/>
        <w:jc w:val="both"/>
        <w:rPr>
          <w:rFonts w:ascii="Times New Roman" w:hAnsi="Times New Roman"/>
          <w:sz w:val="24"/>
          <w:lang w:val="en-GB"/>
        </w:rPr>
      </w:pPr>
      <m:oMathPara>
        <m:oMath>
          <m:r>
            <w:rPr>
              <w:rFonts w:ascii="Cambria Math" w:hAnsi="Cambria Math"/>
              <w:sz w:val="24"/>
              <w:lang w:val="en-GB"/>
            </w:rPr>
            <m:t>AGB=0,0673×</m:t>
          </m:r>
          <m:sSup>
            <m:sSupPr>
              <m:ctrlPr>
                <w:rPr>
                  <w:rFonts w:ascii="Cambria Math" w:hAnsi="Cambria Math"/>
                  <w:i/>
                  <w:sz w:val="24"/>
                  <w:lang w:val="en-GB"/>
                </w:rPr>
              </m:ctrlPr>
            </m:sSupPr>
            <m:e>
              <m:d>
                <m:dPr>
                  <m:ctrlPr>
                    <w:rPr>
                      <w:rFonts w:ascii="Cambria Math" w:hAnsi="Cambria Math"/>
                      <w:i/>
                      <w:sz w:val="24"/>
                      <w:lang w:val="en-GB"/>
                    </w:rPr>
                  </m:ctrlPr>
                </m:dPr>
                <m:e>
                  <m:r>
                    <w:rPr>
                      <w:rFonts w:ascii="Cambria Math" w:hAnsi="Cambria Math"/>
                      <w:sz w:val="24"/>
                      <w:lang w:val="en-GB"/>
                    </w:rPr>
                    <m:t>WD×H×</m:t>
                  </m:r>
                  <m:sSup>
                    <m:sSupPr>
                      <m:ctrlPr>
                        <w:rPr>
                          <w:rFonts w:ascii="Cambria Math" w:hAnsi="Cambria Math"/>
                          <w:i/>
                          <w:sz w:val="24"/>
                          <w:lang w:val="en-GB"/>
                        </w:rPr>
                      </m:ctrlPr>
                    </m:sSupPr>
                    <m:e>
                      <m:r>
                        <w:rPr>
                          <w:rFonts w:ascii="Cambria Math" w:hAnsi="Cambria Math"/>
                          <w:sz w:val="24"/>
                          <w:lang w:val="en-GB"/>
                        </w:rPr>
                        <m:t>DBH</m:t>
                      </m:r>
                    </m:e>
                    <m:sup>
                      <m:r>
                        <w:rPr>
                          <w:rFonts w:ascii="Cambria Math" w:hAnsi="Cambria Math"/>
                          <w:sz w:val="24"/>
                          <w:lang w:val="en-GB"/>
                        </w:rPr>
                        <m:t>2</m:t>
                      </m:r>
                    </m:sup>
                  </m:sSup>
                </m:e>
              </m:d>
            </m:e>
            <m:sup>
              <m:r>
                <w:rPr>
                  <w:rFonts w:ascii="Cambria Math" w:hAnsi="Cambria Math"/>
                  <w:sz w:val="24"/>
                  <w:lang w:val="en-GB"/>
                </w:rPr>
                <m:t>0,976</m:t>
              </m:r>
            </m:sup>
          </m:sSup>
        </m:oMath>
      </m:oMathPara>
    </w:p>
    <w:p w14:paraId="396A9122" w14:textId="77777777" w:rsidR="00F23CF5" w:rsidRPr="00D3125C" w:rsidRDefault="00F23CF5" w:rsidP="00F23CF5">
      <w:pPr>
        <w:jc w:val="both"/>
        <w:rPr>
          <w:rFonts w:ascii="Times New Roman" w:hAnsi="Times New Roman"/>
          <w:sz w:val="24"/>
          <w:lang w:val="en-GB"/>
        </w:rPr>
      </w:pPr>
      <w:r w:rsidRPr="00D3125C">
        <w:rPr>
          <w:rFonts w:ascii="Times New Roman" w:hAnsi="Times New Roman"/>
          <w:sz w:val="24"/>
          <w:lang w:val="en-GB"/>
        </w:rPr>
        <w:t>AGB= aboveground</w:t>
      </w:r>
      <w:r>
        <w:rPr>
          <w:rFonts w:ascii="Times New Roman" w:hAnsi="Times New Roman"/>
          <w:sz w:val="24"/>
          <w:lang w:val="en-GB"/>
        </w:rPr>
        <w:t xml:space="preserve"> green</w:t>
      </w:r>
      <w:r w:rsidRPr="00D3125C">
        <w:rPr>
          <w:rFonts w:ascii="Times New Roman" w:hAnsi="Times New Roman"/>
          <w:sz w:val="24"/>
          <w:lang w:val="en-GB"/>
        </w:rPr>
        <w:t xml:space="preserve"> biomass (kg), WD= woody density (g.</w:t>
      </w:r>
      <w:proofErr w:type="gramStart"/>
      <w:r w:rsidRPr="00D3125C">
        <w:rPr>
          <w:rFonts w:ascii="Times New Roman" w:hAnsi="Times New Roman"/>
          <w:sz w:val="24"/>
          <w:lang w:val="en-GB"/>
        </w:rPr>
        <w:t>cm</w:t>
      </w:r>
      <w:r w:rsidRPr="00D3125C">
        <w:rPr>
          <w:rFonts w:ascii="Times New Roman" w:hAnsi="Times New Roman"/>
          <w:sz w:val="24"/>
          <w:vertAlign w:val="superscript"/>
          <w:lang w:val="en-GB"/>
        </w:rPr>
        <w:t>-3</w:t>
      </w:r>
      <w:proofErr w:type="gramEnd"/>
      <w:r w:rsidRPr="00D3125C">
        <w:rPr>
          <w:rFonts w:ascii="Times New Roman" w:hAnsi="Times New Roman"/>
          <w:sz w:val="24"/>
          <w:lang w:val="en-GB"/>
        </w:rPr>
        <w:t xml:space="preserve">), H= tree height (m), DBH= </w:t>
      </w:r>
      <w:r w:rsidRPr="00D3125C">
        <w:rPr>
          <w:rFonts w:ascii="Times New Roman" w:hAnsi="Times New Roman"/>
          <w:sz w:val="24"/>
          <w:szCs w:val="24"/>
          <w:lang w:val="en-GB"/>
        </w:rPr>
        <w:t>diameter measured at 1.3 m aboveground</w:t>
      </w:r>
      <w:r w:rsidRPr="00D3125C">
        <w:rPr>
          <w:rFonts w:ascii="Times New Roman" w:hAnsi="Times New Roman"/>
          <w:sz w:val="24"/>
          <w:lang w:val="en-GB"/>
        </w:rPr>
        <w:t xml:space="preserve"> (cm).</w:t>
      </w:r>
    </w:p>
    <w:p w14:paraId="484E98AC" w14:textId="77777777" w:rsidR="00F23CF5" w:rsidRPr="00D3125C" w:rsidRDefault="00F23CF5" w:rsidP="00F23CF5">
      <w:pPr>
        <w:jc w:val="both"/>
        <w:rPr>
          <w:rFonts w:ascii="Times New Roman" w:hAnsi="Times New Roman" w:cs="Times New Roman"/>
          <w:sz w:val="24"/>
          <w:szCs w:val="24"/>
          <w:lang w:val="en-GB"/>
        </w:rPr>
      </w:pPr>
      <w:r w:rsidRPr="00D3125C">
        <w:rPr>
          <w:rFonts w:ascii="Times New Roman" w:hAnsi="Times New Roman" w:cs="Times New Roman"/>
          <w:sz w:val="24"/>
          <w:szCs w:val="24"/>
          <w:lang w:val="en-GB"/>
        </w:rPr>
        <w:t xml:space="preserve">To determine the changes in density of tree within the woody community assembly, we used the equation of </w:t>
      </w:r>
      <w:proofErr w:type="spellStart"/>
      <w:r w:rsidRPr="00D3125C">
        <w:rPr>
          <w:rFonts w:ascii="Times New Roman" w:hAnsi="Times New Roman" w:cs="Times New Roman"/>
          <w:sz w:val="24"/>
          <w:szCs w:val="24"/>
          <w:lang w:val="en-GB"/>
        </w:rPr>
        <w:t>Sheil</w:t>
      </w:r>
      <w:proofErr w:type="spellEnd"/>
      <w:r w:rsidRPr="00D3125C">
        <w:rPr>
          <w:rFonts w:ascii="Times New Roman" w:hAnsi="Times New Roman" w:cs="Times New Roman"/>
          <w:sz w:val="24"/>
          <w:szCs w:val="24"/>
          <w:lang w:val="en-GB"/>
        </w:rPr>
        <w:t xml:space="preserve"> et al. </w:t>
      </w:r>
      <w:r w:rsidRPr="00D3125C">
        <w:rPr>
          <w:rFonts w:ascii="Times New Roman" w:hAnsi="Times New Roman" w:cs="Times New Roman"/>
          <w:sz w:val="24"/>
          <w:szCs w:val="24"/>
          <w:lang w:val="en-GB"/>
        </w:rPr>
        <w:fldChar w:fldCharType="begin" w:fldLock="1"/>
      </w:r>
      <w:r>
        <w:rPr>
          <w:rFonts w:ascii="Times New Roman" w:hAnsi="Times New Roman" w:cs="Times New Roman"/>
          <w:sz w:val="24"/>
          <w:szCs w:val="24"/>
          <w:lang w:val="en-GB"/>
        </w:rPr>
        <w:instrText>ADDIN CSL_CITATION {"citationItems":[{"id":"ITEM-1","itemData":{"DOI":"10.2307/2261571","ISBN":"0022-0477","ISSN":"00220477","abstract":"Annualised rate of mortality rann = 1 - (Nt/No)^(1/t) where No = number of individuals at beginning of interval, Nt = number of living individuals at end of interval and t = number of years (Sheil et al. 1995). Equivalent derivation: Survival proportion = exp[-rt] from assumption of constant instantaneous probability of mortality - giving exponential decline in cohort size Rate 'r' is an instantaneous probability of mortality per unit population, correctly called 'exponential mortality coefficient\" (Sheil et al 1995) t = time in years Probability of Survival to time (t) S = exp[ - r * time] = 1-mort mort = 1 - exp[ - t * r] therefore: r = ln[1-mort] / -t mort(1yr) = 1-exp[ -1 * 1.0 years * r]","author":[{"dropping-particle":"","family":"Sheil","given":"Douglas","non-dropping-particle":"","parse-names":false,"suffix":""},{"dropping-particle":"","family":"Burslem","given":"David F R P","non-dropping-particle":"","parse-names":false,"suffix":""},{"dropping-particle":"","family":"Alder","given":"Denis","non-dropping-particle":"","parse-names":false,"suffix":""}],"container-title":"The Journal of Ecology","id":"ITEM-1","issue":"2","issued":{"date-parts":[["1995","4"]]},"page":"331","title":"The interpretation and misinterpretation of mortality rate measures","type":"article-journal","volume":"83"},"uris":["http://www.mendeley.com/documents/?uuid=7d8abe7b-c752-4f77-bc74-5bc493994914"]}],"mendeley":{"formattedCitation":"[54]","plainTextFormattedCitation":"[54]","previouslyFormattedCitation":"[54]"},"properties":{"noteIndex":0},"schema":"https://github.com/citation-style-language/schema/raw/master/csl-citation.json"}</w:instrText>
      </w:r>
      <w:r w:rsidRPr="00D3125C">
        <w:rPr>
          <w:rFonts w:ascii="Times New Roman" w:hAnsi="Times New Roman" w:cs="Times New Roman"/>
          <w:sz w:val="24"/>
          <w:szCs w:val="24"/>
          <w:lang w:val="en-GB"/>
        </w:rPr>
        <w:fldChar w:fldCharType="separate"/>
      </w:r>
      <w:r w:rsidRPr="008B6FDF">
        <w:rPr>
          <w:rFonts w:ascii="Times New Roman" w:hAnsi="Times New Roman" w:cs="Times New Roman"/>
          <w:noProof/>
          <w:sz w:val="24"/>
          <w:szCs w:val="24"/>
          <w:lang w:val="en-GB"/>
        </w:rPr>
        <w:t>[54]</w:t>
      </w:r>
      <w:r w:rsidRPr="00D3125C">
        <w:rPr>
          <w:rFonts w:ascii="Times New Roman" w:hAnsi="Times New Roman" w:cs="Times New Roman"/>
          <w:sz w:val="24"/>
          <w:szCs w:val="24"/>
          <w:lang w:val="en-GB"/>
        </w:rPr>
        <w:fldChar w:fldCharType="end"/>
      </w:r>
      <w:r w:rsidRPr="00D3125C">
        <w:rPr>
          <w:rFonts w:ascii="Times New Roman" w:hAnsi="Times New Roman" w:cs="Times New Roman"/>
          <w:sz w:val="24"/>
          <w:szCs w:val="24"/>
          <w:lang w:val="en-GB"/>
        </w:rPr>
        <w:t xml:space="preserve">, which considers the mortality rate based on the initial number of trees, and the recruitment rate based on the final number of trees. As the time interval between measurements was not constant, we applied the correction factor proposed by Lewis et al. </w:t>
      </w:r>
      <w:r w:rsidRPr="00D3125C">
        <w:rPr>
          <w:rFonts w:ascii="Times New Roman" w:hAnsi="Times New Roman" w:cs="Times New Roman"/>
          <w:sz w:val="24"/>
          <w:szCs w:val="24"/>
          <w:lang w:val="en-GB"/>
        </w:rPr>
        <w:fldChar w:fldCharType="begin" w:fldLock="1"/>
      </w:r>
      <w:r>
        <w:rPr>
          <w:rFonts w:ascii="Times New Roman" w:hAnsi="Times New Roman" w:cs="Times New Roman"/>
          <w:sz w:val="24"/>
          <w:szCs w:val="24"/>
          <w:lang w:val="en-GB"/>
        </w:rPr>
        <w:instrText>ADDIN CSL_CITATION {"citationItems":[{"id":"ITEM-1","itemData":{"DOI":"10.1098/rstb.2003.1431","ISBN":"0962-8436","ISSN":"0962-8436","PMID":"15212094","abstract":"Several widespread changes in the ecology of old-growth tropical forests have recently been documented for the late twentieth century, in particular an increase in stem turnover (pan-tropical), and an increase in above-ground biomass (neotropical). Whether these changes are synchronous and whether changes in growth are also occurring is not known. We analysed stand-level changes within 50 long-term monitoring plots from across South America spanning 1971-2002. We show that: (i) basal area (BA: sum of the cross-sectional areas of all trees in a plot) increased significantly over time (by 0.10 +/- 0.04 m2 ha(-1) yr(-1), mean +/- 95% CI); as did both (ii) stand-level BA growth rates (sum of the increments of BA of surviving trees and BA of new trees that recruited into a plot); and (iii) stand-level BA mortality rates (sum of the cross-sectional areas of all trees that died in a plot). Similar patterns were observed on a per-stem basis: (i) stem density (number of stems per hectare; 1 hectare is 10(4) m2) increased significantly over time (0.94 +/- 0.63 stems ha(-1) yr(-1)); as did both (ii) stem recruitment rates; and (iii) stem mortality rates. In relative terms, the pools of BA and stem density increased by 0.38 +/- 0.15% and 0.18 +/- 0.12% yr(-1), respectively. The fluxes into and out of these pools-stand-level BA growth, stand-level BA mortality, stem recruitment and stem mortality rates-increased, in relative terms, by an order of magnitude more. The gain terms (BA growth, stem recruitment) consistently exceeded the loss terms (BA loss, stem mortality) throughout the period, suggesting that whatever process is driving these changes was already acting before the plot network was established. Large long-term increases in stand-level BA growth and simultaneous increases in stand BA and stem density imply a continent-wide increase in resource availability which is increasing net primary productivity and altering forest dynamics. Continent-wide changes in incoming solar radiation, and increases in atmospheric concentrations of CO2 and air temperatures may have increased resource supply over recent decades, thus causing accelerated growth and increased dynamism across the world's largest tract of tropical forest.","author":[{"dropping-particle":"","family":"Lewis","given":"Simon L","non-dropping-particle":"","parse-names":false,"suffix":""},{"dropping-particle":"","family":"Phillips","given":"Oliver L","non-dropping-particle":"","parse-names":false,"suffix":""},{"dropping-particle":"","family":"Baker","given":"Timothy R","non-dropping-particle":"","parse-names":false,"suffix":""},{"dropping-particle":"","family":"Lloyd","given":"Jon","non-dropping-particle":"","parse-names":false,"suffix":""},{"dropping-particle":"","family":"Malhi","given":"Yadvinder","non-dropping-particle":"","parse-names":false,"suffix":""},{"dropping-particle":"","family":"Almeida","given":"S","non-dropping-particle":"","parse-names":false,"suffix":""},{"dropping-particle":"","family":"Higuchi","given":"N","non-dropping-particle":"","parse-names":false,"suffix":""},{"dropping-particle":"","family":"Laurance","given":"William F","non-dropping-particle":"","parse-names":false,"suffix":""},{"dropping-particle":"","family":"Neill","given":"David A","non-dropping-particle":"","parse-names":false,"suffix":""},{"dropping-particle":"","family":"Silva","given":"J N M","non-dropping-particle":"","parse-names":false,"suffix":""},{"dropping-particle":"","family":"Terborgh","given":"John","non-dropping-particle":"","parse-names":false,"suffix":""},{"dropping-particle":"","family":"Torres Lezama","given":"A","non-dropping-particle":"","parse-names":false,"suffix":""},{"dropping-particle":"","family":"Vásquez Martínez","given":"R","non-dropping-particle":"","parse-names":false,"suffix":""},{"dropping-particle":"","family":"Brown","given":"S","non-dropping-particle":"","parse-names":false,"suffix":""},{"dropping-particle":"","family":"Chave","given":"Jérôme","non-dropping-particle":"","parse-names":false,"suffix":""},{"dropping-particle":"","family":"Kuebler","given":"C","non-dropping-particle":"","parse-names":false,"suffix":""},{"dropping-particle":"","family":"Núñez Vargas","given":"Percy","non-dropping-particle":"","parse-names":false,"suffix":""},{"dropping-particle":"","family":"Vinceti","given":"B","non-dropping-particle":"","parse-names":false,"suffix":""}],"container-title":"Philosophical Transactions of the Royal Society B","id":"ITEM-1","issued":{"date-parts":[["2004"]]},"page":"421-436","title":"Concerted changes in tropical forest structure and dynamics: evidence from 50 South American long-term plots","type":"article-journal","volume":"359"},"uris":["http://www.mendeley.com/documents/?uuid=8d46ce72-0310-4d4d-b356-d62485051f28"]}],"mendeley":{"formattedCitation":"[55]","plainTextFormattedCitation":"[55]","previouslyFormattedCitation":"[55]"},"properties":{"noteIndex":0},"schema":"https://github.com/citation-style-language/schema/raw/master/csl-citation.json"}</w:instrText>
      </w:r>
      <w:r w:rsidRPr="00D3125C">
        <w:rPr>
          <w:rFonts w:ascii="Times New Roman" w:hAnsi="Times New Roman" w:cs="Times New Roman"/>
          <w:sz w:val="24"/>
          <w:szCs w:val="24"/>
          <w:lang w:val="en-GB"/>
        </w:rPr>
        <w:fldChar w:fldCharType="separate"/>
      </w:r>
      <w:r w:rsidRPr="008B6FDF">
        <w:rPr>
          <w:rFonts w:ascii="Times New Roman" w:hAnsi="Times New Roman" w:cs="Times New Roman"/>
          <w:noProof/>
          <w:sz w:val="24"/>
          <w:szCs w:val="24"/>
          <w:lang w:val="en-GB"/>
        </w:rPr>
        <w:t>[55]</w:t>
      </w:r>
      <w:r w:rsidRPr="00D3125C">
        <w:rPr>
          <w:rFonts w:ascii="Times New Roman" w:hAnsi="Times New Roman" w:cs="Times New Roman"/>
          <w:sz w:val="24"/>
          <w:szCs w:val="24"/>
          <w:lang w:val="en-GB"/>
        </w:rPr>
        <w:fldChar w:fldCharType="end"/>
      </w:r>
      <w:r>
        <w:rPr>
          <w:rFonts w:ascii="Times New Roman" w:hAnsi="Times New Roman" w:cs="Times New Roman"/>
          <w:sz w:val="24"/>
          <w:szCs w:val="24"/>
          <w:lang w:val="en-GB"/>
        </w:rPr>
        <w:t xml:space="preserve"> (</w:t>
      </w:r>
      <m:oMath>
        <m:sSub>
          <m:sSubPr>
            <m:ctrlPr>
              <w:rPr>
                <w:rFonts w:ascii="Cambria Math" w:hAnsi="Cambria Math"/>
                <w:i/>
                <w:sz w:val="24"/>
                <w:szCs w:val="24"/>
                <w:lang w:val="en-GB"/>
              </w:rPr>
            </m:ctrlPr>
          </m:sSubPr>
          <m:e>
            <m:r>
              <m:rPr>
                <m:sty m:val="p"/>
              </m:rPr>
              <w:rPr>
                <w:rFonts w:ascii="Cambria Math" w:hAnsi="Cambria Math"/>
                <w:sz w:val="24"/>
                <w:szCs w:val="24"/>
                <w:lang w:val="en-GB"/>
              </w:rPr>
              <m:t>λ</m:t>
            </m:r>
          </m:e>
          <m:sub>
            <m:r>
              <w:rPr>
                <w:rFonts w:ascii="Cambria Math" w:hAnsi="Cambria Math"/>
                <w:sz w:val="24"/>
                <w:szCs w:val="24"/>
                <w:lang w:val="en-GB"/>
              </w:rPr>
              <m:t>corr</m:t>
            </m:r>
          </m:sub>
        </m:sSub>
      </m:oMath>
      <w:r>
        <w:rPr>
          <w:rFonts w:ascii="Times New Roman" w:hAnsi="Times New Roman" w:cs="Times New Roman"/>
          <w:sz w:val="24"/>
          <w:szCs w:val="24"/>
          <w:lang w:val="en-GB"/>
        </w:rPr>
        <w:t>)</w:t>
      </w:r>
      <w:r w:rsidRPr="00D3125C">
        <w:rPr>
          <w:rFonts w:ascii="Times New Roman" w:hAnsi="Times New Roman" w:cs="Times New Roman"/>
          <w:sz w:val="24"/>
          <w:szCs w:val="24"/>
          <w:lang w:val="en-GB"/>
        </w:rPr>
        <w:t xml:space="preserve">. </w:t>
      </w:r>
      <w:proofErr w:type="gramStart"/>
      <w:r w:rsidRPr="00D3125C">
        <w:rPr>
          <w:rFonts w:ascii="Times New Roman" w:hAnsi="Times New Roman" w:cs="Times New Roman"/>
          <w:sz w:val="24"/>
          <w:szCs w:val="24"/>
          <w:lang w:val="en-GB"/>
        </w:rPr>
        <w:t>This corrected small biases</w:t>
      </w:r>
      <w:proofErr w:type="gramEnd"/>
      <w:r w:rsidRPr="00D3125C">
        <w:rPr>
          <w:rFonts w:ascii="Times New Roman" w:hAnsi="Times New Roman" w:cs="Times New Roman"/>
          <w:sz w:val="24"/>
          <w:szCs w:val="24"/>
          <w:lang w:val="en-GB"/>
        </w:rPr>
        <w:t xml:space="preserve"> caused by the influence of differing census intervals and allowed us to estimate the dynamics of the woody community assembly. We thus calculated the mean annual rates of mortality (M), and recruitment (R): </w:t>
      </w:r>
    </w:p>
    <w:p w14:paraId="0A43D7BA" w14:textId="77777777" w:rsidR="00F23CF5" w:rsidRPr="00D3125C" w:rsidRDefault="00F23CF5" w:rsidP="00F23CF5">
      <w:pPr>
        <w:autoSpaceDE w:val="0"/>
        <w:autoSpaceDN w:val="0"/>
        <w:adjustRightInd w:val="0"/>
        <w:spacing w:after="0" w:line="360" w:lineRule="auto"/>
        <w:ind w:firstLine="709"/>
        <w:jc w:val="both"/>
        <w:rPr>
          <w:rFonts w:ascii="Times New Roman" w:hAnsi="Times New Roman"/>
          <w:szCs w:val="24"/>
          <w:lang w:val="en-GB"/>
        </w:rPr>
      </w:pPr>
      <m:oMathPara>
        <m:oMath>
          <m:r>
            <w:rPr>
              <w:rFonts w:ascii="Cambria Math" w:hAnsi="Cambria Math"/>
              <w:szCs w:val="24"/>
              <w:lang w:val="en-GB"/>
            </w:rPr>
            <m:t>M=100×</m:t>
          </m:r>
          <m:d>
            <m:dPr>
              <m:begChr m:val="["/>
              <m:endChr m:val="]"/>
              <m:ctrlPr>
                <w:rPr>
                  <w:rFonts w:ascii="Cambria Math" w:hAnsi="Cambria Math"/>
                  <w:i/>
                  <w:szCs w:val="24"/>
                  <w:lang w:val="en-GB"/>
                </w:rPr>
              </m:ctrlPr>
            </m:dPr>
            <m:e>
              <m:r>
                <w:rPr>
                  <w:rFonts w:ascii="Cambria Math" w:hAnsi="Cambria Math"/>
                  <w:szCs w:val="24"/>
                  <w:lang w:val="en-GB"/>
                </w:rPr>
                <m:t>1-</m:t>
              </m:r>
              <m:sSup>
                <m:sSupPr>
                  <m:ctrlPr>
                    <w:rPr>
                      <w:rFonts w:ascii="Cambria Math" w:hAnsi="Cambria Math"/>
                      <w:i/>
                      <w:szCs w:val="24"/>
                      <w:lang w:val="en-GB"/>
                    </w:rPr>
                  </m:ctrlPr>
                </m:sSupPr>
                <m:e>
                  <m:r>
                    <w:rPr>
                      <w:rFonts w:ascii="Cambria Math" w:hAnsi="Cambria Math"/>
                      <w:szCs w:val="24"/>
                      <w:lang w:val="en-GB"/>
                    </w:rPr>
                    <m:t>(</m:t>
                  </m:r>
                  <m:f>
                    <m:fPr>
                      <m:type m:val="lin"/>
                      <m:ctrlPr>
                        <w:rPr>
                          <w:rFonts w:ascii="Cambria Math" w:hAnsi="Cambria Math"/>
                          <w:i/>
                          <w:szCs w:val="24"/>
                          <w:lang w:val="en-GB"/>
                        </w:rPr>
                      </m:ctrlPr>
                    </m:fPr>
                    <m:num>
                      <m:sSub>
                        <m:sSubPr>
                          <m:ctrlPr>
                            <w:rPr>
                              <w:rFonts w:ascii="Cambria Math" w:hAnsi="Cambria Math"/>
                              <w:i/>
                              <w:szCs w:val="24"/>
                              <w:lang w:val="en-GB"/>
                            </w:rPr>
                          </m:ctrlPr>
                        </m:sSubPr>
                        <m:e>
                          <m:r>
                            <w:rPr>
                              <w:rFonts w:ascii="Cambria Math" w:hAnsi="Cambria Math"/>
                              <w:szCs w:val="24"/>
                              <w:lang w:val="en-GB"/>
                            </w:rPr>
                            <m:t>N</m:t>
                          </m:r>
                        </m:e>
                        <m:sub>
                          <m:r>
                            <w:rPr>
                              <w:rFonts w:ascii="Cambria Math" w:hAnsi="Cambria Math"/>
                              <w:szCs w:val="24"/>
                              <w:lang w:val="en-GB"/>
                            </w:rPr>
                            <m:t>0</m:t>
                          </m:r>
                        </m:sub>
                      </m:sSub>
                      <m:r>
                        <w:rPr>
                          <w:rFonts w:ascii="Cambria Math" w:hAnsi="Cambria Math"/>
                          <w:szCs w:val="24"/>
                          <w:lang w:val="en-GB"/>
                        </w:rPr>
                        <m:t>-</m:t>
                      </m:r>
                      <m:sSub>
                        <m:sSubPr>
                          <m:ctrlPr>
                            <w:rPr>
                              <w:rFonts w:ascii="Cambria Math" w:hAnsi="Cambria Math"/>
                              <w:i/>
                              <w:szCs w:val="24"/>
                              <w:lang w:val="en-GB"/>
                            </w:rPr>
                          </m:ctrlPr>
                        </m:sSubPr>
                        <m:e>
                          <m:r>
                            <w:rPr>
                              <w:rFonts w:ascii="Cambria Math" w:hAnsi="Cambria Math"/>
                              <w:szCs w:val="24"/>
                              <w:lang w:val="en-GB"/>
                            </w:rPr>
                            <m:t>N</m:t>
                          </m:r>
                        </m:e>
                        <m:sub>
                          <m:r>
                            <w:rPr>
                              <w:rFonts w:ascii="Cambria Math" w:hAnsi="Cambria Math"/>
                              <w:szCs w:val="24"/>
                              <w:lang w:val="en-GB"/>
                            </w:rPr>
                            <m:t>m</m:t>
                          </m:r>
                        </m:sub>
                      </m:sSub>
                    </m:num>
                    <m:den>
                      <m:sSub>
                        <m:sSubPr>
                          <m:ctrlPr>
                            <w:rPr>
                              <w:rFonts w:ascii="Cambria Math" w:hAnsi="Cambria Math"/>
                              <w:i/>
                              <w:szCs w:val="24"/>
                              <w:lang w:val="en-GB"/>
                            </w:rPr>
                          </m:ctrlPr>
                        </m:sSubPr>
                        <m:e>
                          <m:r>
                            <w:rPr>
                              <w:rFonts w:ascii="Cambria Math" w:hAnsi="Cambria Math"/>
                              <w:szCs w:val="24"/>
                              <w:lang w:val="en-GB"/>
                            </w:rPr>
                            <m:t>N</m:t>
                          </m:r>
                        </m:e>
                        <m:sub>
                          <m:r>
                            <w:rPr>
                              <w:rFonts w:ascii="Cambria Math" w:hAnsi="Cambria Math"/>
                              <w:szCs w:val="24"/>
                              <w:lang w:val="en-GB"/>
                            </w:rPr>
                            <m:t>0</m:t>
                          </m:r>
                        </m:sub>
                      </m:sSub>
                    </m:den>
                  </m:f>
                  <m:r>
                    <w:rPr>
                      <w:rFonts w:ascii="Cambria Math" w:hAnsi="Cambria Math"/>
                      <w:szCs w:val="24"/>
                      <w:lang w:val="en-GB"/>
                    </w:rPr>
                    <m:t>)</m:t>
                  </m:r>
                </m:e>
                <m:sup>
                  <m:r>
                    <w:rPr>
                      <w:rFonts w:ascii="Cambria Math" w:hAnsi="Cambria Math"/>
                      <w:szCs w:val="24"/>
                      <w:lang w:val="en-GB"/>
                    </w:rPr>
                    <m:t>1/t</m:t>
                  </m:r>
                </m:sup>
              </m:sSup>
            </m:e>
          </m:d>
        </m:oMath>
      </m:oMathPara>
    </w:p>
    <w:p w14:paraId="67B7BADB" w14:textId="77777777" w:rsidR="00F23CF5" w:rsidRPr="00D3125C" w:rsidRDefault="00F23CF5" w:rsidP="00F23CF5">
      <w:pPr>
        <w:autoSpaceDE w:val="0"/>
        <w:autoSpaceDN w:val="0"/>
        <w:adjustRightInd w:val="0"/>
        <w:spacing w:after="0" w:line="360" w:lineRule="auto"/>
        <w:ind w:firstLine="709"/>
        <w:jc w:val="both"/>
        <w:rPr>
          <w:rFonts w:ascii="Times New Roman" w:hAnsi="Times New Roman"/>
          <w:szCs w:val="24"/>
          <w:lang w:val="en-GB"/>
        </w:rPr>
      </w:pPr>
      <m:oMathPara>
        <m:oMath>
          <m:r>
            <w:rPr>
              <w:rFonts w:ascii="Cambria Math" w:hAnsi="Cambria Math"/>
              <w:szCs w:val="24"/>
              <w:lang w:val="en-GB"/>
            </w:rPr>
            <m:t>R=100×</m:t>
          </m:r>
          <m:d>
            <m:dPr>
              <m:begChr m:val="["/>
              <m:endChr m:val="]"/>
              <m:ctrlPr>
                <w:rPr>
                  <w:rFonts w:ascii="Cambria Math" w:hAnsi="Cambria Math"/>
                  <w:i/>
                  <w:szCs w:val="24"/>
                  <w:lang w:val="en-GB"/>
                </w:rPr>
              </m:ctrlPr>
            </m:dPr>
            <m:e>
              <m:r>
                <w:rPr>
                  <w:rFonts w:ascii="Cambria Math" w:hAnsi="Cambria Math"/>
                  <w:szCs w:val="24"/>
                  <w:lang w:val="en-GB"/>
                </w:rPr>
                <m:t>1-</m:t>
              </m:r>
              <m:sSup>
                <m:sSupPr>
                  <m:ctrlPr>
                    <w:rPr>
                      <w:rFonts w:ascii="Cambria Math" w:hAnsi="Cambria Math"/>
                      <w:i/>
                      <w:szCs w:val="24"/>
                      <w:lang w:val="en-GB"/>
                    </w:rPr>
                  </m:ctrlPr>
                </m:sSupPr>
                <m:e>
                  <m:r>
                    <w:rPr>
                      <w:rFonts w:ascii="Cambria Math" w:hAnsi="Cambria Math"/>
                      <w:szCs w:val="24"/>
                      <w:lang w:val="en-GB"/>
                    </w:rPr>
                    <m:t>(</m:t>
                  </m:r>
                  <m:f>
                    <m:fPr>
                      <m:type m:val="lin"/>
                      <m:ctrlPr>
                        <w:rPr>
                          <w:rFonts w:ascii="Cambria Math" w:hAnsi="Cambria Math"/>
                          <w:i/>
                          <w:szCs w:val="24"/>
                          <w:lang w:val="en-GB"/>
                        </w:rPr>
                      </m:ctrlPr>
                    </m:fPr>
                    <m:num>
                      <m:r>
                        <w:rPr>
                          <w:rFonts w:ascii="Cambria Math" w:hAnsi="Cambria Math"/>
                          <w:szCs w:val="24"/>
                          <w:lang w:val="en-GB"/>
                        </w:rPr>
                        <m:t>1-(</m:t>
                      </m:r>
                      <m:sSub>
                        <m:sSubPr>
                          <m:ctrlPr>
                            <w:rPr>
                              <w:rFonts w:ascii="Cambria Math" w:hAnsi="Cambria Math"/>
                              <w:i/>
                              <w:szCs w:val="24"/>
                              <w:lang w:val="en-GB"/>
                            </w:rPr>
                          </m:ctrlPr>
                        </m:sSubPr>
                        <m:e>
                          <m:r>
                            <w:rPr>
                              <w:rFonts w:ascii="Cambria Math" w:hAnsi="Cambria Math"/>
                              <w:szCs w:val="24"/>
                              <w:lang w:val="en-GB"/>
                            </w:rPr>
                            <m:t>N</m:t>
                          </m:r>
                        </m:e>
                        <m:sub>
                          <m:r>
                            <w:rPr>
                              <w:rFonts w:ascii="Cambria Math" w:hAnsi="Cambria Math"/>
                              <w:szCs w:val="24"/>
                              <w:lang w:val="en-GB"/>
                            </w:rPr>
                            <m:t>r</m:t>
                          </m:r>
                        </m:sub>
                      </m:sSub>
                    </m:num>
                    <m:den>
                      <m:sSub>
                        <m:sSubPr>
                          <m:ctrlPr>
                            <w:rPr>
                              <w:rFonts w:ascii="Cambria Math" w:hAnsi="Cambria Math"/>
                              <w:i/>
                              <w:szCs w:val="24"/>
                              <w:lang w:val="en-GB"/>
                            </w:rPr>
                          </m:ctrlPr>
                        </m:sSubPr>
                        <m:e>
                          <m:r>
                            <w:rPr>
                              <w:rFonts w:ascii="Cambria Math" w:hAnsi="Cambria Math"/>
                              <w:szCs w:val="24"/>
                              <w:lang w:val="en-GB"/>
                            </w:rPr>
                            <m:t>N</m:t>
                          </m:r>
                        </m:e>
                        <m:sub>
                          <m:r>
                            <w:rPr>
                              <w:rFonts w:ascii="Cambria Math" w:hAnsi="Cambria Math"/>
                              <w:szCs w:val="24"/>
                              <w:lang w:val="en-GB"/>
                            </w:rPr>
                            <m:t>t</m:t>
                          </m:r>
                        </m:sub>
                      </m:sSub>
                    </m:den>
                  </m:f>
                  <m:r>
                    <w:rPr>
                      <w:rFonts w:ascii="Cambria Math" w:hAnsi="Cambria Math"/>
                      <w:szCs w:val="24"/>
                      <w:lang w:val="en-GB"/>
                    </w:rPr>
                    <m:t>)</m:t>
                  </m:r>
                </m:e>
                <m:sup>
                  <m:r>
                    <w:rPr>
                      <w:rFonts w:ascii="Cambria Math" w:hAnsi="Cambria Math"/>
                      <w:szCs w:val="24"/>
                      <w:lang w:val="en-GB"/>
                    </w:rPr>
                    <m:t>1/t</m:t>
                  </m:r>
                </m:sup>
              </m:sSup>
            </m:e>
          </m:d>
        </m:oMath>
      </m:oMathPara>
    </w:p>
    <w:p w14:paraId="0E885DEB" w14:textId="77777777" w:rsidR="00F23CF5" w:rsidRPr="00D3125C" w:rsidRDefault="00F23CF5" w:rsidP="00F23CF5">
      <w:pPr>
        <w:autoSpaceDE w:val="0"/>
        <w:autoSpaceDN w:val="0"/>
        <w:adjustRightInd w:val="0"/>
        <w:spacing w:after="0" w:line="360" w:lineRule="auto"/>
        <w:ind w:firstLine="709"/>
        <w:jc w:val="both"/>
        <w:rPr>
          <w:rFonts w:ascii="Times New Roman" w:hAnsi="Times New Roman"/>
          <w:szCs w:val="24"/>
          <w:lang w:val="en-GB"/>
        </w:rPr>
      </w:pPr>
      <m:oMathPara>
        <m:oMath>
          <m:sSub>
            <m:sSubPr>
              <m:ctrlPr>
                <w:rPr>
                  <w:rFonts w:ascii="Cambria Math" w:hAnsi="Cambria Math"/>
                  <w:i/>
                  <w:sz w:val="24"/>
                  <w:szCs w:val="24"/>
                  <w:lang w:val="en-GB"/>
                </w:rPr>
              </m:ctrlPr>
            </m:sSubPr>
            <m:e>
              <m:r>
                <m:rPr>
                  <m:sty m:val="p"/>
                </m:rPr>
                <w:rPr>
                  <w:rFonts w:ascii="Cambria Math" w:hAnsi="Cambria Math"/>
                  <w:sz w:val="24"/>
                  <w:szCs w:val="24"/>
                  <w:lang w:val="en-GB"/>
                </w:rPr>
                <m:t>λ</m:t>
              </m:r>
            </m:e>
            <m:sub>
              <m:r>
                <w:rPr>
                  <w:rFonts w:ascii="Cambria Math" w:hAnsi="Cambria Math"/>
                  <w:sz w:val="24"/>
                  <w:szCs w:val="24"/>
                  <w:lang w:val="en-GB"/>
                </w:rPr>
                <m:t>corr</m:t>
              </m:r>
            </m:sub>
          </m:sSub>
          <m:r>
            <w:rPr>
              <w:rFonts w:ascii="Cambria Math" w:hAnsi="Cambria Math"/>
              <w:sz w:val="24"/>
              <w:szCs w:val="24"/>
              <w:lang w:val="en-GB"/>
            </w:rPr>
            <m:t>=</m:t>
          </m:r>
          <m:r>
            <m:rPr>
              <m:sty m:val="p"/>
            </m:rPr>
            <w:rPr>
              <w:rFonts w:ascii="Cambria Math" w:hAnsi="Cambria Math"/>
              <w:sz w:val="24"/>
              <w:szCs w:val="24"/>
              <w:lang w:val="en-GB"/>
            </w:rPr>
            <m:t>λ×</m:t>
          </m:r>
          <m:sSup>
            <m:sSupPr>
              <m:ctrlPr>
                <w:rPr>
                  <w:rFonts w:ascii="Cambria Math" w:hAnsi="Cambria Math"/>
                  <w:sz w:val="24"/>
                  <w:szCs w:val="24"/>
                  <w:lang w:val="en-GB"/>
                </w:rPr>
              </m:ctrlPr>
            </m:sSupPr>
            <m:e>
              <m:r>
                <w:rPr>
                  <w:rFonts w:ascii="Cambria Math" w:hAnsi="Cambria Math"/>
                  <w:sz w:val="24"/>
                  <w:szCs w:val="24"/>
                  <w:lang w:val="en-GB"/>
                </w:rPr>
                <m:t>t</m:t>
              </m:r>
            </m:e>
            <m:sup>
              <m:r>
                <w:rPr>
                  <w:rFonts w:ascii="Cambria Math" w:hAnsi="Cambria Math"/>
                  <w:sz w:val="24"/>
                  <w:szCs w:val="24"/>
                  <w:lang w:val="en-GB"/>
                </w:rPr>
                <m:t>0,08</m:t>
              </m:r>
            </m:sup>
          </m:sSup>
        </m:oMath>
      </m:oMathPara>
    </w:p>
    <w:p w14:paraId="2087CB9A" w14:textId="77777777" w:rsidR="00F23CF5" w:rsidRPr="00D3125C" w:rsidRDefault="00F23CF5" w:rsidP="00F23CF5">
      <w:pPr>
        <w:jc w:val="both"/>
        <w:rPr>
          <w:rFonts w:ascii="Times New Roman" w:hAnsi="Times New Roman"/>
          <w:i/>
          <w:lang w:val="en-GB" w:eastAsia="pt-BR"/>
        </w:rPr>
      </w:pPr>
    </w:p>
    <w:p w14:paraId="149A9483" w14:textId="77777777" w:rsidR="00F23CF5" w:rsidRPr="00D3125C" w:rsidRDefault="00F23CF5" w:rsidP="00F23CF5">
      <w:pPr>
        <w:jc w:val="both"/>
        <w:rPr>
          <w:rFonts w:ascii="Times New Roman" w:hAnsi="Times New Roman"/>
          <w:lang w:val="en-GB"/>
        </w:rPr>
      </w:pPr>
      <w:r w:rsidRPr="00D3125C">
        <w:rPr>
          <w:rFonts w:ascii="Times New Roman" w:hAnsi="Times New Roman"/>
          <w:lang w:val="en-GB" w:eastAsia="pt-BR"/>
        </w:rPr>
        <w:t>Where</w:t>
      </w:r>
      <w:r w:rsidRPr="00D3125C">
        <w:rPr>
          <w:rFonts w:ascii="Times New Roman" w:hAnsi="Times New Roman"/>
          <w:i/>
          <w:lang w:val="en-GB" w:eastAsia="pt-BR"/>
        </w:rPr>
        <w:t xml:space="preserve"> t </w:t>
      </w:r>
      <w:r w:rsidRPr="00D3125C">
        <w:rPr>
          <w:rFonts w:ascii="Times New Roman" w:hAnsi="Times New Roman"/>
          <w:lang w:val="en-GB" w:eastAsia="pt-BR"/>
        </w:rPr>
        <w:t>= time between monitoring; N</w:t>
      </w:r>
      <w:r w:rsidRPr="00D3125C">
        <w:rPr>
          <w:rFonts w:ascii="Times New Roman" w:hAnsi="Times New Roman"/>
          <w:vertAlign w:val="subscript"/>
          <w:lang w:val="en-GB" w:eastAsia="pt-BR"/>
        </w:rPr>
        <w:t xml:space="preserve">0 </w:t>
      </w:r>
      <w:r w:rsidRPr="00D3125C">
        <w:rPr>
          <w:rFonts w:ascii="Times New Roman" w:hAnsi="Times New Roman"/>
          <w:lang w:val="en-GB" w:eastAsia="pt-BR"/>
        </w:rPr>
        <w:t>= initial number of individuals; N</w:t>
      </w:r>
      <w:r w:rsidRPr="00D3125C">
        <w:rPr>
          <w:rFonts w:ascii="Times New Roman" w:hAnsi="Times New Roman"/>
          <w:vertAlign w:val="subscript"/>
          <w:lang w:val="en-GB"/>
        </w:rPr>
        <w:t>m</w:t>
      </w:r>
      <w:r w:rsidRPr="00D3125C">
        <w:rPr>
          <w:rFonts w:ascii="Times New Roman" w:hAnsi="Times New Roman"/>
          <w:vertAlign w:val="subscript"/>
          <w:lang w:val="en-GB" w:eastAsia="pt-BR"/>
        </w:rPr>
        <w:t xml:space="preserve"> </w:t>
      </w:r>
      <w:r w:rsidRPr="00D3125C">
        <w:rPr>
          <w:rFonts w:ascii="Times New Roman" w:hAnsi="Times New Roman"/>
          <w:lang w:val="en-GB" w:eastAsia="pt-BR"/>
        </w:rPr>
        <w:t>= dead number of individuals; N</w:t>
      </w:r>
      <w:r w:rsidRPr="00D3125C">
        <w:rPr>
          <w:rFonts w:ascii="Times New Roman" w:hAnsi="Times New Roman"/>
          <w:vertAlign w:val="subscript"/>
          <w:lang w:val="en-GB" w:eastAsia="pt-BR"/>
        </w:rPr>
        <w:t xml:space="preserve">r </w:t>
      </w:r>
      <w:r w:rsidRPr="00D3125C">
        <w:rPr>
          <w:rFonts w:ascii="Times New Roman" w:hAnsi="Times New Roman"/>
          <w:lang w:val="en-GB" w:eastAsia="pt-BR"/>
        </w:rPr>
        <w:t xml:space="preserve">= number of recruits; </w:t>
      </w:r>
      <w:proofErr w:type="spellStart"/>
      <w:r w:rsidRPr="00D3125C">
        <w:rPr>
          <w:rFonts w:ascii="Times New Roman" w:hAnsi="Times New Roman"/>
          <w:lang w:val="en-GB" w:eastAsia="pt-BR"/>
        </w:rPr>
        <w:t>N</w:t>
      </w:r>
      <w:r w:rsidRPr="00D3125C">
        <w:rPr>
          <w:rFonts w:ascii="Times New Roman" w:hAnsi="Times New Roman"/>
          <w:vertAlign w:val="subscript"/>
          <w:lang w:val="en-GB" w:eastAsia="pt-BR"/>
        </w:rPr>
        <w:t>t</w:t>
      </w:r>
      <w:proofErr w:type="spellEnd"/>
      <w:r w:rsidRPr="00D3125C">
        <w:rPr>
          <w:rFonts w:ascii="Times New Roman" w:hAnsi="Times New Roman"/>
          <w:vertAlign w:val="subscript"/>
          <w:lang w:val="en-GB" w:eastAsia="pt-BR"/>
        </w:rPr>
        <w:t xml:space="preserve"> </w:t>
      </w:r>
      <w:r w:rsidRPr="00D3125C">
        <w:rPr>
          <w:rFonts w:ascii="Times New Roman" w:hAnsi="Times New Roman"/>
          <w:lang w:val="en-GB" w:eastAsia="pt-BR"/>
        </w:rPr>
        <w:t xml:space="preserve">= final number of </w:t>
      </w:r>
      <w:r>
        <w:rPr>
          <w:rFonts w:ascii="Times New Roman" w:hAnsi="Times New Roman"/>
          <w:lang w:val="en-GB" w:eastAsia="pt-BR"/>
        </w:rPr>
        <w:t>trees</w:t>
      </w:r>
      <w:r w:rsidRPr="00D3125C">
        <w:rPr>
          <w:rFonts w:ascii="Times New Roman" w:hAnsi="Times New Roman"/>
          <w:lang w:val="en-GB" w:eastAsia="pt-BR"/>
        </w:rPr>
        <w:t>; and</w:t>
      </w:r>
      <m:oMath>
        <m:sSub>
          <m:sSubPr>
            <m:ctrlPr>
              <w:rPr>
                <w:rFonts w:ascii="Cambria Math" w:hAnsi="Cambria Math"/>
                <w:i/>
                <w:lang w:val="en-GB"/>
              </w:rPr>
            </m:ctrlPr>
          </m:sSubPr>
          <m:e>
            <m:r>
              <w:rPr>
                <w:rFonts w:ascii="Cambria Math" w:hAnsi="Cambria Math"/>
                <w:lang w:val="en-GB"/>
              </w:rPr>
              <m:t xml:space="preserve"> λ</m:t>
            </m:r>
          </m:e>
          <m:sub>
            <m:r>
              <w:rPr>
                <w:rFonts w:ascii="Cambria Math" w:hAnsi="Cambria Math"/>
                <w:lang w:val="en-GB"/>
              </w:rPr>
              <m:t>corr</m:t>
            </m:r>
          </m:sub>
        </m:sSub>
      </m:oMath>
      <w:r w:rsidRPr="00D3125C">
        <w:rPr>
          <w:rFonts w:ascii="Times New Roman" w:eastAsiaTheme="minorEastAsia" w:hAnsi="Times New Roman"/>
          <w:lang w:val="en-GB"/>
        </w:rPr>
        <w:t xml:space="preserve"> </w:t>
      </w:r>
      <w:r w:rsidRPr="00D3125C">
        <w:rPr>
          <w:rFonts w:ascii="Times New Roman" w:hAnsi="Times New Roman"/>
          <w:lang w:val="en-GB"/>
        </w:rPr>
        <w:t>= corrected rate of mortality or recruitment</w:t>
      </w:r>
      <w:r>
        <w:rPr>
          <w:rFonts w:ascii="Times New Roman" w:hAnsi="Times New Roman"/>
          <w:lang w:val="en-GB"/>
        </w:rPr>
        <w:t xml:space="preserve">, </w:t>
      </w:r>
      <w:r w:rsidRPr="002E4378">
        <w:rPr>
          <w:rFonts w:ascii="Times New Roman" w:hAnsi="Times New Roman"/>
          <w:lang w:val="en-GB"/>
        </w:rPr>
        <w:t xml:space="preserve">as suggested by </w:t>
      </w:r>
      <w:r w:rsidRPr="00D3125C">
        <w:rPr>
          <w:rFonts w:ascii="Times New Roman" w:hAnsi="Times New Roman" w:cs="Times New Roman"/>
          <w:sz w:val="24"/>
          <w:szCs w:val="24"/>
          <w:lang w:val="en-GB"/>
        </w:rPr>
        <w:t xml:space="preserve">Lewis et al. </w:t>
      </w:r>
      <w:r w:rsidRPr="00D3125C">
        <w:rPr>
          <w:rFonts w:ascii="Times New Roman" w:hAnsi="Times New Roman" w:cs="Times New Roman"/>
          <w:sz w:val="24"/>
          <w:szCs w:val="24"/>
          <w:lang w:val="en-GB"/>
        </w:rPr>
        <w:fldChar w:fldCharType="begin" w:fldLock="1"/>
      </w:r>
      <w:r>
        <w:rPr>
          <w:rFonts w:ascii="Times New Roman" w:hAnsi="Times New Roman" w:cs="Times New Roman"/>
          <w:sz w:val="24"/>
          <w:szCs w:val="24"/>
          <w:lang w:val="en-GB"/>
        </w:rPr>
        <w:instrText>ADDIN CSL_CITATION {"citationItems":[{"id":"ITEM-1","itemData":{"DOI":"10.1098/rstb.2003.1431","ISBN":"0962-8436","ISSN":"0962-8436","PMID":"15212094","abstract":"Several widespread changes in the ecology of old-growth tropical forests have recently been documented for the late twentieth century, in particular an increase in stem turnover (pan-tropical), and an increase in above-ground biomass (neotropical). Whether these changes are synchronous and whether changes in growth are also occurring is not known. We analysed stand-level changes within 50 long-term monitoring plots from across South America spanning 1971-2002. We show that: (i) basal area (BA: sum of the cross-sectional areas of all trees in a plot) increased significantly over time (by 0.10 +/- 0.04 m2 ha(-1) yr(-1), mean +/- 95% CI); as did both (ii) stand-level BA growth rates (sum of the increments of BA of surviving trees and BA of new trees that recruited into a plot); and (iii) stand-level BA mortality rates (sum of the cross-sectional areas of all trees that died in a plot). Similar patterns were observed on a per-stem basis: (i) stem density (number of stems per hectare; 1 hectare is 10(4) m2) increased significantly over time (0.94 +/- 0.63 stems ha(-1) yr(-1)); as did both (ii) stem recruitment rates; and (iii) stem mortality rates. In relative terms, the pools of BA and stem density increased by 0.38 +/- 0.15% and 0.18 +/- 0.12% yr(-1), respectively. The fluxes into and out of these pools-stand-level BA growth, stand-level BA mortality, stem recruitment and stem mortality rates-increased, in relative terms, by an order of magnitude more. The gain terms (BA growth, stem recruitment) consistently exceeded the loss terms (BA loss, stem mortality) throughout the period, suggesting that whatever process is driving these changes was already acting before the plot network was established. Large long-term increases in stand-level BA growth and simultaneous increases in stand BA and stem density imply a continent-wide increase in resource availability which is increasing net primary productivity and altering forest dynamics. Continent-wide changes in incoming solar radiation, and increases in atmospheric concentrations of CO2 and air temperatures may have increased resource supply over recent decades, thus causing accelerated growth and increased dynamism across the world's largest tract of tropical forest.","author":[{"dropping-particle":"","family":"Lewis","given":"Simon L","non-dropping-particle":"","parse-names":false,"suffix":""},{"dropping-particle":"","family":"Phillips","given":"Oliver L","non-dropping-particle":"","parse-names":false,"suffix":""},{"dropping-particle":"","family":"Baker","given":"Timothy R","non-dropping-particle":"","parse-names":false,"suffix":""},{"dropping-particle":"","family":"Lloyd","given":"Jon","non-dropping-particle":"","parse-names":false,"suffix":""},{"dropping-particle":"","family":"Malhi","given":"Yadvinder","non-dropping-particle":"","parse-names":false,"suffix":""},{"dropping-particle":"","family":"Almeida","given":"S","non-dropping-particle":"","parse-names":false,"suffix":""},{"dropping-particle":"","family":"Higuchi","given":"N","non-dropping-particle":"","parse-names":false,"suffix":""},{"dropping-particle":"","family":"Laurance","given":"William F","non-dropping-particle":"","parse-names":false,"suffix":""},{"dropping-particle":"","family":"Neill","given":"David A","non-dropping-particle":"","parse-names":false,"suffix":""},{"dropping-particle":"","family":"Silva","given":"J N M","non-dropping-particle":"","parse-names":false,"suffix":""},{"dropping-particle":"","family":"Terborgh","given":"John","non-dropping-particle":"","parse-names":false,"suffix":""},{"dropping-particle":"","family":"Torres Lezama","given":"A","non-dropping-particle":"","parse-names":false,"suffix":""},{"dropping-particle":"","family":"Vásquez Martínez","given":"R","non-dropping-particle":"","parse-names":false,"suffix":""},{"dropping-particle":"","family":"Brown","given":"S","non-dropping-particle":"","parse-names":false,"suffix":""},{"dropping-particle":"","family":"Chave","given":"Jérôme","non-dropping-particle":"","parse-names":false,"suffix":""},{"dropping-particle":"","family":"Kuebler","given":"C","non-dropping-particle":"","parse-names":false,"suffix":""},{"dropping-particle":"","family":"Núñez Vargas","given":"Percy","non-dropping-particle":"","parse-names":false,"suffix":""},{"dropping-particle":"","family":"Vinceti","given":"B","non-dropping-particle":"","parse-names":false,"suffix":""}],"container-title":"Philosophical Transactions of the Royal Society B","id":"ITEM-1","issued":{"date-parts":[["2004"]]},"page":"421-436","title":"Concerted changes in tropical forest structure and dynamics: evidence from 50 South American long-term plots","type":"article-journal","volume":"359"},"uris":["http://www.mendeley.com/documents/?uuid=8d46ce72-0310-4d4d-b356-d62485051f28"]}],"mendeley":{"formattedCitation":"[55]","plainTextFormattedCitation":"[55]","previouslyFormattedCitation":"[55]"},"properties":{"noteIndex":0},"schema":"https://github.com/citation-style-language/schema/raw/master/csl-citation.json"}</w:instrText>
      </w:r>
      <w:r w:rsidRPr="00D3125C">
        <w:rPr>
          <w:rFonts w:ascii="Times New Roman" w:hAnsi="Times New Roman" w:cs="Times New Roman"/>
          <w:sz w:val="24"/>
          <w:szCs w:val="24"/>
          <w:lang w:val="en-GB"/>
        </w:rPr>
        <w:fldChar w:fldCharType="separate"/>
      </w:r>
      <w:r w:rsidRPr="008B6FDF">
        <w:rPr>
          <w:rFonts w:ascii="Times New Roman" w:hAnsi="Times New Roman" w:cs="Times New Roman"/>
          <w:noProof/>
          <w:sz w:val="24"/>
          <w:szCs w:val="24"/>
          <w:lang w:val="en-GB"/>
        </w:rPr>
        <w:t>[55]</w:t>
      </w:r>
      <w:r w:rsidRPr="00D3125C">
        <w:rPr>
          <w:rFonts w:ascii="Times New Roman" w:hAnsi="Times New Roman" w:cs="Times New Roman"/>
          <w:sz w:val="24"/>
          <w:szCs w:val="24"/>
          <w:lang w:val="en-GB"/>
        </w:rPr>
        <w:fldChar w:fldCharType="end"/>
      </w:r>
      <w:r w:rsidRPr="00D3125C">
        <w:rPr>
          <w:rFonts w:ascii="Times New Roman" w:hAnsi="Times New Roman"/>
          <w:lang w:val="en-GB"/>
        </w:rPr>
        <w:t>.</w:t>
      </w:r>
    </w:p>
    <w:p w14:paraId="09401699" w14:textId="77777777" w:rsidR="00F23CF5" w:rsidRDefault="00F23CF5" w:rsidP="00F23CF5">
      <w:pPr>
        <w:jc w:val="both"/>
        <w:rPr>
          <w:rFonts w:ascii="Times New Roman" w:hAnsi="Times New Roman"/>
          <w:sz w:val="24"/>
          <w:szCs w:val="24"/>
          <w:lang w:val="en-GB"/>
        </w:rPr>
      </w:pPr>
      <w:r w:rsidRPr="00D3125C">
        <w:rPr>
          <w:rFonts w:ascii="Times New Roman" w:hAnsi="Times New Roman"/>
          <w:sz w:val="24"/>
          <w:szCs w:val="24"/>
          <w:lang w:val="en-GB"/>
        </w:rPr>
        <w:t>We referred to the sequential intervals between the measurements as I1 (1996 - 1999), I2 (1999 - 2003), I3 (2003 - 2006), I4 (2006 - 2010) and I5 (2010 - 2016). We classified the tree trunks into three categories: A) small (between</w:t>
      </w:r>
      <w:r w:rsidRPr="00D3125C" w:rsidDel="00171E0F">
        <w:rPr>
          <w:rFonts w:ascii="Times New Roman" w:hAnsi="Times New Roman"/>
          <w:sz w:val="24"/>
          <w:szCs w:val="24"/>
          <w:lang w:val="en-GB"/>
        </w:rPr>
        <w:t xml:space="preserve"> </w:t>
      </w:r>
      <w:r>
        <w:rPr>
          <w:rFonts w:ascii="Times New Roman" w:hAnsi="Times New Roman"/>
          <w:sz w:val="24"/>
          <w:szCs w:val="24"/>
          <w:lang w:val="en-GB"/>
        </w:rPr>
        <w:t xml:space="preserve">5 and </w:t>
      </w:r>
      <w:r w:rsidRPr="00D3125C">
        <w:rPr>
          <w:rFonts w:ascii="Times New Roman" w:hAnsi="Times New Roman"/>
          <w:sz w:val="24"/>
          <w:szCs w:val="24"/>
          <w:lang w:val="en-GB"/>
        </w:rPr>
        <w:t>10 cm DBH), B) medium (between 10 and 35 cm DBH), and C) large (greater than 35cm DBH)</w:t>
      </w:r>
      <w:r>
        <w:rPr>
          <w:rFonts w:ascii="Times New Roman" w:hAnsi="Times New Roman"/>
          <w:sz w:val="24"/>
          <w:szCs w:val="24"/>
          <w:lang w:val="en-GB"/>
        </w:rPr>
        <w:t xml:space="preserve"> </w:t>
      </w:r>
      <w:r>
        <w:rPr>
          <w:rFonts w:ascii="Times New Roman" w:hAnsi="Times New Roman"/>
          <w:sz w:val="24"/>
          <w:szCs w:val="24"/>
          <w:lang w:val="en-GB"/>
        </w:rPr>
        <w:fldChar w:fldCharType="begin" w:fldLock="1"/>
      </w:r>
      <w:r>
        <w:rPr>
          <w:rFonts w:ascii="Times New Roman" w:hAnsi="Times New Roman"/>
          <w:sz w:val="24"/>
          <w:szCs w:val="24"/>
          <w:lang w:val="en-GB"/>
        </w:rPr>
        <w:instrText>ADDIN CSL_CITATION {"citationItems":[{"id":"ITEM-1","itemData":{"DOI":"10.1038/nplants.2015.139","ISSN":"2055-026X","abstract":"The frequency of severe droughts is increasing in many regions around the world as a result of climate change 1–3 . Droughts alter the structure and function of forests 4,5 . Site-and region-specific studies suggest that large trees, which play keystone roles in forests 6 and can be disproportionately important to ecosystem carbon storage 7 and hydrology 8 , exhibit greater sensitivity to drought than small trees 4,5,9,10 . Here, we synthesize data on tree growth and mortality collected during 40 drought events in forests worldwide to see whether this size-dependent sensi-tivity to drought holds more widely. We find that droughts con-sistently had a more detrimental impact on the growth and mortality rates of larger trees. Moreover, drought-related mor-tality increased with tree size in 65% of the droughts examined, especially when community-wide mortality was high or when bark beetles were present. The more pronounced drought sensi-tivity of larger trees could be underpinned by greater inherent vulnerability to hydraulic stress 11–14 , the higher radiation and evaporative demand experienced by exposed crowns 4,15 , and the tendency for bark beetles to preferentially attack larger trees 16 . We suggest that future droughts will have a more detri-mental impact on the growth and mortality of larger trees, poten-tially exacerbating feedbacks to climate change. Climate change has been linked to water deficits in many parts of the world, and future climate projections suggest that droughts are likely to increase in severity because of changes in the timing and magnitude of precipitation and rising temperature 1,2,14,17 . Across a wide range of biomes, drought leads to changes in forest compo-sition, structure, productivity and climate interactions 5,18,19 . Drought has many important consequences for forest communities, as species composition and dominance are shaped by water avail-ability and can change rapidly in response to drought 19,20 . Drought-induced forest decline results in climate feedbacks includ-ing reduced CO 2 uptake, reduced carbon stocks, increased albedo and decreased evapotranspiration 21 . The impact of drought on forest structure and function depends on which trees are most adversely affected; greater mortality of small trees may modify future forest succession whereas mortality of large trees causes dis-proportionate losses of carbon and ecosystem function 5–7","author":[{"dropping-particle":"","family":"Bennett","given":"Amy C","non-dropping-particle":"","parse-names":false,"suffix":""},{"dropping-particle":"","family":"McDowell","given":"Nathan G","non-dropping-particle":"","parse-names":false,"suffix":""},{"dropping-particle":"","family":"Allen","given":"Craig D","non-dropping-particle":"","parse-names":false,"suffix":""},{"dropping-particle":"","family":"Anderson-Teixeira","given":"Kristina J","non-dropping-particle":"","parse-names":false,"suffix":""}],"container-title":"Nature Plants","id":"ITEM-1","issue":"10","issued":{"date-parts":[["2015","9","28"]]},"page":"15139","publisher":"Nature Publishing Group","title":"Larger trees suffer most during drought in forests worldwide","type":"article-journal","volume":"1"},"uris":["http://www.mendeley.com/documents/?uuid=665d5136-e450-498c-a13b-d1d5b0686dc0"]}],"mendeley":{"formattedCitation":"[56]","plainTextFormattedCitation":"[56]","previouslyFormattedCitation":"[56]"},"properties":{"noteIndex":0},"schema":"https://github.com/citation-style-language/schema/raw/master/csl-citation.json"}</w:instrText>
      </w:r>
      <w:r>
        <w:rPr>
          <w:rFonts w:ascii="Times New Roman" w:hAnsi="Times New Roman"/>
          <w:sz w:val="24"/>
          <w:szCs w:val="24"/>
          <w:lang w:val="en-GB"/>
        </w:rPr>
        <w:fldChar w:fldCharType="separate"/>
      </w:r>
      <w:r w:rsidRPr="00BA19E5">
        <w:rPr>
          <w:rFonts w:ascii="Times New Roman" w:hAnsi="Times New Roman"/>
          <w:noProof/>
          <w:sz w:val="24"/>
          <w:szCs w:val="24"/>
          <w:lang w:val="en-GB"/>
        </w:rPr>
        <w:t>[56]</w:t>
      </w:r>
      <w:r>
        <w:rPr>
          <w:rFonts w:ascii="Times New Roman" w:hAnsi="Times New Roman"/>
          <w:sz w:val="24"/>
          <w:szCs w:val="24"/>
          <w:lang w:val="en-GB"/>
        </w:rPr>
        <w:fldChar w:fldCharType="end"/>
      </w:r>
      <w:r w:rsidRPr="00D3125C">
        <w:rPr>
          <w:rFonts w:ascii="Times New Roman" w:hAnsi="Times New Roman"/>
          <w:sz w:val="24"/>
          <w:szCs w:val="24"/>
          <w:lang w:val="en-GB"/>
        </w:rPr>
        <w:t>. We used these categories to arrive at a better understanding of the changes in the structure of the woody</w:t>
      </w:r>
      <w:r w:rsidRPr="00D3125C">
        <w:rPr>
          <w:rFonts w:ascii="Times New Roman" w:hAnsi="Times New Roman" w:cs="Times New Roman"/>
          <w:sz w:val="24"/>
          <w:szCs w:val="24"/>
          <w:lang w:val="en-GB"/>
        </w:rPr>
        <w:t xml:space="preserve"> community</w:t>
      </w:r>
      <w:r w:rsidRPr="00D3125C">
        <w:rPr>
          <w:rFonts w:ascii="Times New Roman" w:hAnsi="Times New Roman"/>
          <w:sz w:val="24"/>
          <w:szCs w:val="24"/>
          <w:lang w:val="en-GB"/>
        </w:rPr>
        <w:t xml:space="preserve"> assembly. </w:t>
      </w:r>
    </w:p>
    <w:p w14:paraId="7AAF971D" w14:textId="77777777" w:rsidR="00F23CF5" w:rsidRPr="00D3125C" w:rsidRDefault="00F23CF5" w:rsidP="00F23CF5">
      <w:pPr>
        <w:jc w:val="both"/>
        <w:rPr>
          <w:rFonts w:ascii="Times New Roman" w:hAnsi="Times New Roman"/>
          <w:sz w:val="24"/>
          <w:szCs w:val="24"/>
          <w:lang w:val="en-GB"/>
        </w:rPr>
      </w:pPr>
      <w:r w:rsidRPr="00D3125C">
        <w:rPr>
          <w:rFonts w:ascii="Times New Roman" w:hAnsi="Times New Roman"/>
          <w:sz w:val="24"/>
          <w:szCs w:val="24"/>
          <w:lang w:val="en-GB"/>
        </w:rPr>
        <w:t xml:space="preserve">We calculated the productivity in aboveground biomass (PB) by summing the aboveground biomass of recruiting individuals, and the growth of the surviving trees, relative to time </w:t>
      </w:r>
      <w:r w:rsidRPr="00D3125C">
        <w:rPr>
          <w:rFonts w:ascii="Times New Roman" w:hAnsi="Times New Roman"/>
          <w:sz w:val="24"/>
          <w:szCs w:val="24"/>
          <w:lang w:val="en-GB"/>
        </w:rPr>
        <w:fldChar w:fldCharType="begin" w:fldLock="1"/>
      </w:r>
      <w:r>
        <w:rPr>
          <w:rFonts w:ascii="Times New Roman" w:hAnsi="Times New Roman"/>
          <w:sz w:val="24"/>
          <w:szCs w:val="24"/>
          <w:lang w:val="en-GB"/>
        </w:rPr>
        <w:instrText>ADDIN CSL_CITATION {"citationItems":[{"id":"ITEM-1","itemData":{"DOI":"10.1038/nature14283","ISBN":"doi:10.1038/nature14283","ISSN":"1476-4687","PMID":"25788097","abstract":"Atmospheric carbon dioxide records indicate that the land surface has acted as a strong global carbon sink over recent decades, with a substantial fraction of this sink probably located in the tropics, particularly in the Amazon. Nevertheless, it is unclear how the terrestrial carbon sink will evolve as climate and atmospheric composition continue to change. Here we analyse the historical evolution of the biomass dynamics of the Amazon rainforest over three decades using a distributed network of 321 plots. While this analysis confirms that Amazon forests have acted as a long-term net biomass sink, we find a long-term decreasing trend of carbon accumulation. Rates of net increase in above-ground biomass declined by one-third during the past decade compared to the 1990s. This is a consequence of growth rate increases levelling off recently, while biomass mortality persistently increased throughout, leading to a shortening of carbon residence times. Potential drivers for the mortality increase include greater climate variability, and feedbacks of faster growth on mortality, resulting in shortened tree longevity. The observed decline of the Amazon sink diverges markedly from the recent increase in terrestrial carbon uptake at the global scale, and is contrary to expectations based on models.","author":[{"dropping-particle":"","family":"Brienen","given":"Roel J W","non-dropping-particle":"","parse-names":false,"suffix":""},{"dropping-particle":"","family":"Phillips","given":"Oliver L","non-dropping-particle":"","parse-names":false,"suffix":""},{"dropping-particle":"","family":"Feldpausch","given":"Ted R","non-dropping-particle":"","parse-names":false,"suffix":""},{"dropping-particle":"","family":"Gloor","given":"E","non-dropping-particle":"","parse-names":false,"suffix":""},{"dropping-particle":"","family":"Baker","given":"Timothy R","non-dropping-particle":"","parse-names":false,"suffix":""},{"dropping-particle":"","family":"Lloyd","given":"Jon","non-dropping-particle":"","parse-names":false,"suffix":""},{"dropping-particle":"","family":"Lopez-Gonzalez","given":"Gabriela","non-dropping-particle":"","parse-names":false,"suffix":""},{"dropping-particle":"","family":"Monteagudo-Mendoza","given":"A","non-dropping-particle":"","parse-names":false,"suffix":""},{"dropping-particle":"","family":"Malhi","given":"Y","non-dropping-particle":"","parse-names":false,"suffix":""},{"dropping-particle":"","family":"Lewis","given":"Simon L","non-dropping-particle":"","parse-names":false,"suffix":""},{"dropping-particle":"","family":"Vásquez Martinez","given":"R","non-dropping-particle":"","parse-names":false,"suffix":""},{"dropping-particle":"","family":"Alexiades","given":"M","non-dropping-particle":"","parse-names":false,"suffix":""},{"dropping-particle":"","family":"Álvarez Dávila","given":"E","non-dropping-particle":"","parse-names":false,"suffix":""},{"dropping-particle":"","family":"Alvarez-Loayza","given":"P","non-dropping-particle":"","parse-names":false,"suffix":""},{"dropping-particle":"","family":"Andrade","given":"A","non-dropping-particle":"","parse-names":false,"suffix":""},{"dropping-particle":"","family":"Aragão","given":"Luiz E O C","non-dropping-particle":"","parse-names":false,"suffix":""},{"dropping-particle":"","family":"Araujo-Murakami","given":"Alejandro","non-dropping-particle":"","parse-names":false,"suffix":""},{"dropping-particle":"","family":"Arets","given":"E J M M","non-dropping-particle":"","parse-names":false,"suffix":""},{"dropping-particle":"","family":"Arroyo","given":"Luzmila","non-dropping-particle":"","parse-names":false,"suffix":""},{"dropping-particle":"","family":"Aymard C","given":"Gerardo A","non-dropping-particle":"","parse-names":false,"suffix":""},{"dropping-particle":"","family":"Bánki","given":"O S","non-dropping-particle":"","parse-names":false,"suffix":""},{"dropping-particle":"","family":"Baraloto","given":"C","non-dropping-particle":"","parse-names":false,"suffix":""},{"dropping-particle":"","family":"Barroso","given":"J","non-dropping-particle":"","parse-names":false,"suffix":""},{"dropping-particle":"","family":"Bonal","given":"D","non-dropping-particle":"","parse-names":false,"suffix":""},{"dropping-particle":"","family":"Boot","given":"R G A","non-dropping-particle":"","parse-names":false,"suffix":""},{"dropping-particle":"","family":"Camargo","given":"J L C","non-dropping-particle":"","parse-names":false,"suffix":""},{"dropping-particle":"V","family":"Castilho","given":"C","non-dropping-particle":"","parse-names":false,"suffix":""},{"dropping-particle":"","family":"Chama","given":"V","non-dropping-particle":"","parse-names":false,"suffix":""},{"dropping-particle":"","family":"Chao","given":"Kuo Jung","non-dropping-particle":"","parse-names":false,"suffix":""},{"dropping-particle":"","family":"Chave","given":"J","non-dropping-particle":"","parse-names":false,"suffix":""},{"dropping-particle":"","family":"Comiskey","given":"James A","non-dropping-particle":"","parse-names":false,"suffix":""},{"dropping-particle":"","family":"Cornejo Valverde","given":"Fernando","non-dropping-particle":"","parse-names":false,"suffix":""},{"dropping-particle":"","family":"Costa","given":"L","non-dropping-particle":"","parse-names":false,"suffix":""},{"dropping-particle":"","family":"Oliveira","given":"Edmar Almeida","non-dropping-particle":"","parse-names":false,"suffix":""},{"dropping-particle":"","family":"Fiore","given":"A","non-dropping-particle":"Di","parse-names":false,"suffix":""},{"dropping-particle":"","family":"Erwin","given":"T L","non-dropping-particle":"","parse-names":false,"suffix":""},{"dropping-particle":"","family":"Fauset","given":"S","non-dropping-particle":"","parse-names":false,"suffix":""},{"dropping-particle":"","family":"Forsthofer","given":"M","non-dropping-particle":"","parse-names":false,"suffix":""},{"dropping-particle":"","family":"Galbraith","given":"D R","non-dropping-particle":"","parse-names":false,"suffix":""},{"dropping-particle":"","family":"Grahame","given":"E S","non-dropping-particle":"","parse-names":false,"suffix":""},{"dropping-particle":"","family":"Groot","given":"N","non-dropping-particle":"","parse-names":false,"suffix":""},{"dropping-particle":"","family":"Hérault","given":"B","non-dropping-particle":"","parse-names":false,"suffix":""},{"dropping-particle":"","family":"Higuchi","given":"Niro","non-dropping-particle":"","parse-names":false,"suffix":""},{"dropping-particle":"","family":"Honorio Coronado","given":"E N","non-dropping-particle":"","parse-names":false,"suffix":""},{"dropping-particle":"","family":"Keeling","given":"H","non-dropping-particle":"","parse-names":false,"suffix":""},{"dropping-particle":"","family":"Killeen","given":"Tim J","non-dropping-particle":"","parse-names":false,"suffix":""},{"dropping-particle":"","family":"Laurance","given":"William F","non-dropping-particle":"","parse-names":false,"suffix":""},{"dropping-particle":"","family":"Laurance","given":"Susan G","non-dropping-particle":"","parse-names":false,"suffix":""},{"dropping-particle":"","family":"Licona","given":"Juan Carlos","non-dropping-particle":"","parse-names":false,"suffix":""},{"dropping-particle":"","family":"Magnussen","given":"W E","non-dropping-particle":"","parse-names":false,"suffix":""},{"dropping-particle":"","family":"Marimon","given":"Beatriz Schwantes","non-dropping-particle":"","parse-names":false,"suffix":""},{"dropping-particle":"","family":"Marimon Junior","given":"Ben Hur","non-dropping-particle":"","parse-names":false,"suffix":""},{"dropping-particle":"","family":"Mendoza","given":"Casimiro","non-dropping-particle":"","parse-names":false,"suffix":""},{"dropping-particle":"","family":"Neill","given":"David A","non-dropping-particle":"","parse-names":false,"suffix":""},{"dropping-particle":"","family":"Nogueira","given":"E M","non-dropping-particle":"","parse-names":false,"suffix":""},{"dropping-particle":"","family":"Núñez","given":"P","non-dropping-particle":"","parse-names":false,"suffix":""},{"dropping-particle":"","family":"Pallqui Camacho","given":"N C","non-dropping-particle":"","parse-names":false,"suffix":""},{"dropping-particle":"","family":"Parada","given":"A","non-dropping-particle":"","parse-names":false,"suffix":""},{"dropping-particle":"","family":"Pardo-Molina","given":"G","non-dropping-particle":"","parse-names":false,"suffix":""},{"dropping-particle":"","family":"Peacock","given":"Julie","non-dropping-particle":"","parse-names":false,"suffix":""},{"dropping-particle":"","family":"Peña-Claros","given":"M","non-dropping-particle":"","parse-names":false,"suffix":""},{"dropping-particle":"","family":"Pickavance","given":"G C","non-dropping-particle":"","parse-names":false,"suffix":""},{"dropping-particle":"","family":"Pitman","given":"N C A","non-dropping-particle":"","parse-names":false,"suffix":""},{"dropping-particle":"","family":"Poorter","given":"Lourens","non-dropping-particle":"","parse-names":false,"suffix":""},{"dropping-particle":"","family":"Prieto","given":"A","non-dropping-particle":"","parse-names":false,"suffix":""},{"dropping-particle":"","family":"Quesada","given":"C A","non-dropping-particle":"","parse-names":false,"suffix":""},{"dropping-particle":"","family":"Ramírez","given":"F","non-dropping-particle":"","parse-names":false,"suffix":""},{"dropping-particle":"","family":"Ramírez-Angulo","given":"H","non-dropping-particle":"","parse-names":false,"suffix":""},{"dropping-particle":"","family":"Restrepo","given":"Z","non-dropping-particle":"","parse-names":false,"suffix":""},{"dropping-particle":"","family":"Roopsind","given":"A","non-dropping-particle":"","parse-names":false,"suffix":""},{"dropping-particle":"","family":"Rudas","given":"A","non-dropping-particle":"","parse-names":false,"suffix":""},{"dropping-particle":"","family":"Salomão","given":"R P","non-dropping-particle":"","parse-names":false,"suffix":""},{"dropping-particle":"","family":"Schwarz","given":"M","non-dropping-particle":"","parse-names":false,"suffix":""},{"dropping-particle":"","family":"Silva","given":"N","non-dropping-particle":"","parse-names":false,"suffix":""},{"dropping-particle":"","family":"Silva-Espejo","given":"J E","non-dropping-particle":"","parse-names":false,"suffix":""},{"dropping-particle":"","family":"Silveira","given":"M","non-dropping-particle":"","parse-names":false,"suffix":""},{"dropping-particle":"","family":"Stropp","given":"J","non-dropping-particle":"","parse-names":false,"suffix":""},{"dropping-particle":"","family":"Talbot","given":"J","non-dropping-particle":"","parse-names":false,"suffix":""},{"dropping-particle":"","family":"Steege","given":"H","non-dropping-particle":"ter","parse-names":false,"suffix":""},{"dropping-particle":"","family":"Teran-Aguilar","given":"J","non-dropping-particle":"","parse-names":false,"suffix":""},{"dropping-particle":"","family":"Terborgh","given":"J","non-dropping-particle":"","parse-names":false,"suffix":""},{"dropping-particle":"","family":"Thomas-Caesar","given":"R","non-dropping-particle":"","parse-names":false,"suffix":""},{"dropping-particle":"","family":"Toledo","given":"M","non-dropping-particle":"","parse-names":false,"suffix":""},{"dropping-particle":"","family":"Torello-Raventos","given":"M","non-dropping-particle":"","parse-names":false,"suffix":""},{"dropping-particle":"","family":"Umetsu","given":"R K","non-dropping-particle":"","parse-names":false,"suffix":""},{"dropping-particle":"","family":"Heijden","given":"G M F","non-dropping-particle":"van der","parse-names":false,"suffix":""},{"dropping-particle":"","family":"Hout","given":"P","non-dropping-particle":"van der","parse-names":false,"suffix":""},{"dropping-particle":"","family":"Guimarães Vieira","given":"I C","non-dropping-particle":"","parse-names":false,"suffix":""},{"dropping-particle":"","family":"Vieira","given":"S A","non-dropping-particle":"","parse-names":false,"suffix":""},{"dropping-particle":"","family":"Vilanova","given":"E","non-dropping-particle":"","parse-names":false,"suffix":""},{"dropping-particle":"","family":"Vos","given":"V A","non-dropping-particle":"","parse-names":false,"suffix":""},{"dropping-particle":"","family":"Zagt","given":"R J","non-dropping-particle":"","parse-names":false,"suffix":""}],"container-title":"Nature","id":"ITEM-1","issue":"7543","issued":{"date-parts":[["2015"]]},"note":"NULL","page":"344-8","publisher":"Nature Publishing Group","title":"Long-term decline of the Amazon carbon sink","type":"article-journal","volume":"519"},"uris":["http://www.mendeley.com/documents/?uuid=c8e3dc14-af5d-4d3c-9e5d-52d3ad72b11a"]}],"mendeley":{"formattedCitation":"[14]","plainTextFormattedCitation":"[14]","previouslyFormattedCitation":"[14]"},"properties":{"noteIndex":0},"schema":"https://github.com/citation-style-language/schema/raw/master/csl-citation.json"}</w:instrText>
      </w:r>
      <w:r w:rsidRPr="00D3125C">
        <w:rPr>
          <w:rFonts w:ascii="Times New Roman" w:hAnsi="Times New Roman"/>
          <w:sz w:val="24"/>
          <w:szCs w:val="24"/>
          <w:lang w:val="en-GB"/>
        </w:rPr>
        <w:fldChar w:fldCharType="separate"/>
      </w:r>
      <w:r w:rsidRPr="00027232">
        <w:rPr>
          <w:rFonts w:ascii="Times New Roman" w:hAnsi="Times New Roman"/>
          <w:noProof/>
          <w:sz w:val="24"/>
          <w:szCs w:val="24"/>
          <w:lang w:val="en-GB"/>
        </w:rPr>
        <w:t>[14]</w:t>
      </w:r>
      <w:r w:rsidRPr="00D3125C">
        <w:rPr>
          <w:rFonts w:ascii="Times New Roman" w:hAnsi="Times New Roman"/>
          <w:sz w:val="24"/>
          <w:szCs w:val="24"/>
          <w:lang w:val="en-GB"/>
        </w:rPr>
        <w:fldChar w:fldCharType="end"/>
      </w:r>
      <w:r>
        <w:rPr>
          <w:rFonts w:ascii="Times New Roman" w:hAnsi="Times New Roman"/>
          <w:sz w:val="24"/>
          <w:szCs w:val="24"/>
          <w:lang w:val="en-GB"/>
        </w:rPr>
        <w:t xml:space="preserve"> </w:t>
      </w:r>
      <m:oMath>
        <m:r>
          <w:rPr>
            <w:rFonts w:ascii="Cambria Math" w:eastAsia="Times New Roman" w:hAnsi="Cambria Math" w:cs="Arial"/>
            <w:sz w:val="24"/>
            <w:szCs w:val="24"/>
            <w:lang w:val="en-GB"/>
          </w:rPr>
          <m:t xml:space="preserve">PB= </m:t>
        </m:r>
        <m:nary>
          <m:naryPr>
            <m:chr m:val="∑"/>
            <m:limLoc m:val="undOvr"/>
            <m:subHide m:val="1"/>
            <m:supHide m:val="1"/>
            <m:ctrlPr>
              <w:rPr>
                <w:rFonts w:ascii="Cambria Math" w:eastAsia="Times New Roman" w:hAnsi="Cambria Math" w:cs="Arial"/>
                <w:i/>
                <w:sz w:val="24"/>
                <w:szCs w:val="24"/>
                <w:lang w:val="en-GB"/>
              </w:rPr>
            </m:ctrlPr>
          </m:naryPr>
          <m:sub/>
          <m:sup/>
          <m:e>
            <m:sSub>
              <m:sSubPr>
                <m:ctrlPr>
                  <w:rPr>
                    <w:rFonts w:ascii="Cambria Math" w:eastAsia="Times New Roman" w:hAnsi="Cambria Math" w:cs="Arial"/>
                    <w:i/>
                    <w:sz w:val="24"/>
                    <w:szCs w:val="24"/>
                    <w:lang w:val="en-GB"/>
                  </w:rPr>
                </m:ctrlPr>
              </m:sSubPr>
              <m:e>
                <m:r>
                  <w:rPr>
                    <w:rFonts w:ascii="Cambria Math" w:eastAsia="Times New Roman" w:hAnsi="Cambria Math" w:cs="Arial"/>
                    <w:sz w:val="24"/>
                    <w:szCs w:val="24"/>
                    <w:lang w:val="en-GB"/>
                  </w:rPr>
                  <m:t>B</m:t>
                </m:r>
              </m:e>
              <m:sub>
                <m:r>
                  <w:rPr>
                    <w:rFonts w:ascii="Cambria Math" w:eastAsia="Times New Roman" w:hAnsi="Cambria Math" w:cs="Arial"/>
                    <w:sz w:val="24"/>
                    <w:szCs w:val="24"/>
                    <w:lang w:val="en-GB"/>
                  </w:rPr>
                  <m:t>i</m:t>
                </m:r>
              </m:sub>
            </m:sSub>
          </m:e>
        </m:nary>
        <m:r>
          <w:rPr>
            <w:rFonts w:ascii="Cambria Math" w:eastAsia="Times New Roman" w:hAnsi="Cambria Math" w:cs="Arial"/>
            <w:sz w:val="24"/>
            <w:szCs w:val="24"/>
            <w:lang w:val="en-GB"/>
          </w:rPr>
          <m:t>+</m:t>
        </m:r>
        <m:nary>
          <m:naryPr>
            <m:chr m:val="∑"/>
            <m:limLoc m:val="undOvr"/>
            <m:subHide m:val="1"/>
            <m:supHide m:val="1"/>
            <m:ctrlPr>
              <w:rPr>
                <w:rFonts w:ascii="Cambria Math" w:eastAsia="Times New Roman" w:hAnsi="Cambria Math" w:cs="Arial"/>
                <w:i/>
                <w:sz w:val="24"/>
                <w:szCs w:val="24"/>
                <w:lang w:val="en-GB"/>
              </w:rPr>
            </m:ctrlPr>
          </m:naryPr>
          <m:sub/>
          <m:sup/>
          <m:e>
            <m:sSub>
              <m:sSubPr>
                <m:ctrlPr>
                  <w:rPr>
                    <w:rFonts w:ascii="Cambria Math" w:eastAsia="Times New Roman" w:hAnsi="Cambria Math" w:cs="Arial"/>
                    <w:i/>
                    <w:sz w:val="24"/>
                    <w:szCs w:val="24"/>
                    <w:lang w:val="en-GB"/>
                  </w:rPr>
                </m:ctrlPr>
              </m:sSubPr>
              <m:e>
                <m:r>
                  <w:rPr>
                    <w:rFonts w:ascii="Cambria Math" w:eastAsia="Times New Roman" w:hAnsi="Cambria Math" w:cs="Arial"/>
                    <w:sz w:val="24"/>
                    <w:szCs w:val="24"/>
                    <w:lang w:val="en-GB"/>
                  </w:rPr>
                  <m:t>B</m:t>
                </m:r>
              </m:e>
              <m:sub>
                <m:r>
                  <w:rPr>
                    <w:rFonts w:ascii="Cambria Math" w:eastAsia="Times New Roman" w:hAnsi="Cambria Math" w:cs="Arial"/>
                    <w:sz w:val="24"/>
                    <w:szCs w:val="24"/>
                    <w:lang w:val="en-GB"/>
                  </w:rPr>
                  <m:t>j</m:t>
                </m:r>
              </m:sub>
            </m:sSub>
            <m:r>
              <w:rPr>
                <w:rFonts w:ascii="Cambria Math" w:eastAsia="Times New Roman" w:hAnsi="Cambria Math" w:cs="Arial"/>
                <w:sz w:val="24"/>
                <w:szCs w:val="24"/>
                <w:lang w:val="en-GB"/>
              </w:rPr>
              <m:t>-</m:t>
            </m:r>
            <m:sSub>
              <m:sSubPr>
                <m:ctrlPr>
                  <w:rPr>
                    <w:rFonts w:ascii="Cambria Math" w:eastAsia="Times New Roman" w:hAnsi="Cambria Math" w:cs="Arial"/>
                    <w:i/>
                    <w:sz w:val="24"/>
                    <w:szCs w:val="24"/>
                    <w:lang w:val="en-GB"/>
                  </w:rPr>
                </m:ctrlPr>
              </m:sSubPr>
              <m:e>
                <m:r>
                  <w:rPr>
                    <w:rFonts w:ascii="Cambria Math" w:eastAsia="Times New Roman" w:hAnsi="Cambria Math" w:cs="Arial"/>
                    <w:sz w:val="24"/>
                    <w:szCs w:val="24"/>
                    <w:lang w:val="en-GB"/>
                  </w:rPr>
                  <m:t>B</m:t>
                </m:r>
              </m:e>
              <m:sub>
                <m:r>
                  <w:rPr>
                    <w:rFonts w:ascii="Cambria Math" w:eastAsia="Times New Roman" w:hAnsi="Cambria Math" w:cs="Arial"/>
                    <w:sz w:val="24"/>
                    <w:szCs w:val="24"/>
                    <w:lang w:val="en-GB"/>
                  </w:rPr>
                  <m:t>j-1</m:t>
                </m:r>
              </m:sub>
            </m:sSub>
          </m:e>
        </m:nary>
      </m:oMath>
      <w:r w:rsidRPr="00D3125C">
        <w:rPr>
          <w:rFonts w:ascii="Times New Roman" w:eastAsiaTheme="minorEastAsia" w:hAnsi="Times New Roman"/>
          <w:sz w:val="24"/>
          <w:szCs w:val="24"/>
          <w:lang w:val="en-GB"/>
        </w:rPr>
        <w:t xml:space="preserve"> where: Bi = </w:t>
      </w:r>
      <w:r w:rsidRPr="00D3125C">
        <w:rPr>
          <w:rFonts w:ascii="Times New Roman" w:eastAsia="SimSun" w:hAnsi="Times New Roman"/>
          <w:sz w:val="24"/>
          <w:szCs w:val="24"/>
          <w:lang w:val="en-GB"/>
        </w:rPr>
        <w:t>Where: B</w:t>
      </w:r>
      <w:r w:rsidRPr="00D3125C">
        <w:rPr>
          <w:rFonts w:ascii="Times New Roman" w:eastAsia="SimSun" w:hAnsi="Times New Roman"/>
          <w:sz w:val="24"/>
          <w:szCs w:val="24"/>
          <w:vertAlign w:val="subscript"/>
          <w:lang w:val="en-GB"/>
        </w:rPr>
        <w:t>i</w:t>
      </w:r>
      <w:r w:rsidRPr="00D3125C">
        <w:rPr>
          <w:rFonts w:ascii="Times New Roman" w:eastAsia="SimSun" w:hAnsi="Times New Roman"/>
          <w:sz w:val="24"/>
          <w:szCs w:val="24"/>
          <w:lang w:val="en-GB"/>
        </w:rPr>
        <w:t xml:space="preserve">= </w:t>
      </w:r>
      <w:r w:rsidRPr="00D3125C">
        <w:rPr>
          <w:rFonts w:ascii="Times New Roman" w:hAnsi="Times New Roman"/>
          <w:sz w:val="24"/>
          <w:szCs w:val="24"/>
          <w:lang w:val="en-GB"/>
        </w:rPr>
        <w:t>biomass of recruits tree,</w:t>
      </w:r>
      <w:r w:rsidRPr="00D3125C">
        <w:rPr>
          <w:rFonts w:ascii="Times New Roman" w:eastAsia="SimSun" w:hAnsi="Times New Roman"/>
          <w:sz w:val="24"/>
          <w:szCs w:val="24"/>
          <w:lang w:val="en-GB"/>
        </w:rPr>
        <w:t xml:space="preserve"> </w:t>
      </w:r>
      <w:proofErr w:type="spellStart"/>
      <w:r w:rsidRPr="00D3125C">
        <w:rPr>
          <w:rFonts w:ascii="Times New Roman" w:eastAsia="SimSun" w:hAnsi="Times New Roman"/>
          <w:sz w:val="24"/>
          <w:szCs w:val="24"/>
          <w:lang w:val="en-GB"/>
        </w:rPr>
        <w:t>B</w:t>
      </w:r>
      <w:r w:rsidRPr="00D3125C">
        <w:rPr>
          <w:rFonts w:ascii="Times New Roman" w:eastAsia="SimSun" w:hAnsi="Times New Roman"/>
          <w:sz w:val="24"/>
          <w:szCs w:val="24"/>
          <w:vertAlign w:val="subscript"/>
          <w:lang w:val="en-GB"/>
        </w:rPr>
        <w:t>j</w:t>
      </w:r>
      <w:proofErr w:type="spellEnd"/>
      <w:r w:rsidRPr="00D3125C">
        <w:rPr>
          <w:rFonts w:ascii="Times New Roman" w:eastAsia="SimSun" w:hAnsi="Times New Roman"/>
          <w:sz w:val="24"/>
          <w:szCs w:val="24"/>
          <w:lang w:val="en-GB"/>
        </w:rPr>
        <w:t>= subsequent monitoring biomass for tree; B</w:t>
      </w:r>
      <w:r w:rsidRPr="00D3125C">
        <w:rPr>
          <w:rFonts w:ascii="Times New Roman" w:eastAsia="SimSun" w:hAnsi="Times New Roman"/>
          <w:sz w:val="24"/>
          <w:szCs w:val="24"/>
          <w:vertAlign w:val="subscript"/>
          <w:lang w:val="en-GB"/>
        </w:rPr>
        <w:t>j-1</w:t>
      </w:r>
      <w:r w:rsidRPr="00D3125C">
        <w:rPr>
          <w:rFonts w:ascii="Times New Roman" w:eastAsia="SimSun" w:hAnsi="Times New Roman"/>
          <w:sz w:val="24"/>
          <w:szCs w:val="24"/>
          <w:lang w:val="en-GB"/>
        </w:rPr>
        <w:t xml:space="preserve">= previous monitoring biomass for tree. </w:t>
      </w:r>
      <w:r w:rsidRPr="00D3125C">
        <w:rPr>
          <w:rFonts w:ascii="Times New Roman" w:hAnsi="Times New Roman"/>
          <w:sz w:val="24"/>
          <w:szCs w:val="24"/>
          <w:lang w:val="en-GB"/>
        </w:rPr>
        <w:t xml:space="preserve">We measured net biomass change (NBC) between each interval as the difference between the </w:t>
      </w:r>
      <w:r>
        <w:rPr>
          <w:rFonts w:ascii="Times New Roman" w:hAnsi="Times New Roman"/>
          <w:sz w:val="24"/>
          <w:szCs w:val="24"/>
          <w:lang w:val="en-GB"/>
        </w:rPr>
        <w:t>later</w:t>
      </w:r>
      <w:r w:rsidRPr="00D3125C">
        <w:rPr>
          <w:rFonts w:ascii="Times New Roman" w:hAnsi="Times New Roman"/>
          <w:sz w:val="24"/>
          <w:szCs w:val="24"/>
          <w:lang w:val="en-GB"/>
        </w:rPr>
        <w:t xml:space="preserve"> and the previous biomass totals</w:t>
      </w:r>
      <m:oMath>
        <m:r>
          <w:rPr>
            <w:rFonts w:ascii="Cambria Math" w:hAnsi="Cambria Math"/>
            <w:sz w:val="24"/>
            <w:szCs w:val="24"/>
            <w:lang w:val="en-GB"/>
          </w:rPr>
          <m:t xml:space="preserve">, </m:t>
        </m:r>
        <m:r>
          <m:rPr>
            <m:sty m:val="p"/>
          </m:rPr>
          <w:rPr>
            <w:rFonts w:ascii="Cambria Math" w:hAnsi="Cambria Math"/>
            <w:sz w:val="24"/>
            <w:szCs w:val="24"/>
            <w:lang w:val="en-GB"/>
          </w:rPr>
          <m:t>i.e</m:t>
        </m:r>
        <m:r>
          <w:rPr>
            <w:rFonts w:ascii="Cambria Math" w:hAnsi="Cambria Math"/>
            <w:sz w:val="24"/>
            <w:szCs w:val="24"/>
            <w:lang w:val="en-GB"/>
          </w:rPr>
          <m:t xml:space="preserve">. </m:t>
        </m:r>
        <m:r>
          <w:rPr>
            <w:rFonts w:ascii="Cambria Math" w:eastAsia="Times New Roman" w:hAnsi="Cambria Math" w:cs="Arial"/>
            <w:sz w:val="24"/>
            <w:szCs w:val="24"/>
            <w:lang w:val="en-GB"/>
          </w:rPr>
          <m:t>NBC=</m:t>
        </m:r>
        <m:sSub>
          <m:sSubPr>
            <m:ctrlPr>
              <w:rPr>
                <w:rFonts w:ascii="Cambria Math" w:eastAsia="Times New Roman" w:hAnsi="Cambria Math" w:cs="Arial"/>
                <w:i/>
                <w:sz w:val="24"/>
                <w:szCs w:val="24"/>
                <w:lang w:val="en-GB"/>
              </w:rPr>
            </m:ctrlPr>
          </m:sSubPr>
          <m:e>
            <m:r>
              <w:rPr>
                <w:rFonts w:ascii="Cambria Math" w:eastAsia="Times New Roman" w:hAnsi="Cambria Math" w:cs="Arial"/>
                <w:sz w:val="24"/>
                <w:szCs w:val="24"/>
                <w:lang w:val="en-GB"/>
              </w:rPr>
              <m:t>B</m:t>
            </m:r>
          </m:e>
          <m:sub>
            <m:r>
              <w:rPr>
                <w:rFonts w:ascii="Cambria Math" w:eastAsia="Times New Roman" w:hAnsi="Cambria Math" w:cs="Arial"/>
                <w:sz w:val="24"/>
                <w:szCs w:val="24"/>
                <w:lang w:val="en-GB"/>
              </w:rPr>
              <m:t>n</m:t>
            </m:r>
          </m:sub>
        </m:sSub>
        <m:r>
          <w:rPr>
            <w:rFonts w:ascii="Cambria Math" w:eastAsia="Times New Roman" w:hAnsi="Cambria Math" w:cs="Arial"/>
            <w:sz w:val="24"/>
            <w:szCs w:val="24"/>
            <w:lang w:val="en-GB"/>
          </w:rPr>
          <m:t>-</m:t>
        </m:r>
        <m:sSub>
          <m:sSubPr>
            <m:ctrlPr>
              <w:rPr>
                <w:rFonts w:ascii="Cambria Math" w:eastAsia="Times New Roman" w:hAnsi="Cambria Math" w:cs="Arial"/>
                <w:i/>
                <w:sz w:val="24"/>
                <w:szCs w:val="24"/>
                <w:lang w:val="en-GB"/>
              </w:rPr>
            </m:ctrlPr>
          </m:sSubPr>
          <m:e>
            <m:r>
              <w:rPr>
                <w:rFonts w:ascii="Cambria Math" w:eastAsia="Times New Roman" w:hAnsi="Cambria Math" w:cs="Arial"/>
                <w:sz w:val="24"/>
                <w:szCs w:val="24"/>
                <w:lang w:val="en-GB"/>
              </w:rPr>
              <m:t>B</m:t>
            </m:r>
          </m:e>
          <m:sub>
            <m:r>
              <w:rPr>
                <w:rFonts w:ascii="Cambria Math" w:eastAsia="Times New Roman" w:hAnsi="Cambria Math" w:cs="Arial"/>
                <w:sz w:val="24"/>
                <w:szCs w:val="24"/>
                <w:lang w:val="en-GB"/>
              </w:rPr>
              <m:t>m</m:t>
            </m:r>
          </m:sub>
        </m:sSub>
      </m:oMath>
      <w:r w:rsidRPr="00D3125C">
        <w:rPr>
          <w:rFonts w:ascii="Times New Roman" w:eastAsiaTheme="minorEastAsia" w:hAnsi="Times New Roman"/>
          <w:sz w:val="24"/>
          <w:szCs w:val="24"/>
          <w:lang w:val="en-GB"/>
        </w:rPr>
        <w:t>, w</w:t>
      </w:r>
      <w:r w:rsidRPr="00D3125C">
        <w:rPr>
          <w:rFonts w:ascii="Times New Roman" w:eastAsia="SimSun" w:hAnsi="Times New Roman"/>
          <w:sz w:val="24"/>
          <w:szCs w:val="24"/>
          <w:lang w:val="en-GB"/>
        </w:rPr>
        <w:t>here: B</w:t>
      </w:r>
      <w:r w:rsidRPr="00D3125C">
        <w:rPr>
          <w:rFonts w:ascii="Times New Roman" w:eastAsia="SimSun" w:hAnsi="Times New Roman"/>
          <w:sz w:val="24"/>
          <w:szCs w:val="24"/>
          <w:vertAlign w:val="subscript"/>
          <w:lang w:val="en-GB"/>
        </w:rPr>
        <w:t>n</w:t>
      </w:r>
      <w:r w:rsidRPr="00D3125C">
        <w:rPr>
          <w:rFonts w:ascii="Times New Roman" w:eastAsia="SimSun" w:hAnsi="Times New Roman"/>
          <w:sz w:val="24"/>
          <w:szCs w:val="24"/>
          <w:lang w:val="en-GB"/>
        </w:rPr>
        <w:t xml:space="preserve">= total biomass subsequent monitoring biomass; </w:t>
      </w:r>
      <w:proofErr w:type="spellStart"/>
      <w:r w:rsidRPr="00D3125C">
        <w:rPr>
          <w:rFonts w:ascii="Times New Roman" w:eastAsia="SimSun" w:hAnsi="Times New Roman"/>
          <w:sz w:val="24"/>
          <w:szCs w:val="24"/>
          <w:lang w:val="en-GB"/>
        </w:rPr>
        <w:t>B</w:t>
      </w:r>
      <w:r w:rsidRPr="00D3125C">
        <w:rPr>
          <w:rFonts w:ascii="Times New Roman" w:eastAsia="SimSun" w:hAnsi="Times New Roman"/>
          <w:sz w:val="24"/>
          <w:szCs w:val="24"/>
          <w:vertAlign w:val="subscript"/>
          <w:lang w:val="en-GB"/>
        </w:rPr>
        <w:t>m</w:t>
      </w:r>
      <w:proofErr w:type="spellEnd"/>
      <w:r w:rsidRPr="00D3125C">
        <w:rPr>
          <w:rFonts w:ascii="Times New Roman" w:eastAsia="SimSun" w:hAnsi="Times New Roman"/>
          <w:sz w:val="24"/>
          <w:szCs w:val="24"/>
          <w:lang w:val="en-GB"/>
        </w:rPr>
        <w:t>= total biomass previous monitoring.</w:t>
      </w:r>
    </w:p>
    <w:p w14:paraId="3D4521D5" w14:textId="77777777" w:rsidR="00F23CF5" w:rsidRPr="00D3125C" w:rsidRDefault="00F23CF5" w:rsidP="00F23CF5">
      <w:pPr>
        <w:jc w:val="both"/>
        <w:rPr>
          <w:rFonts w:ascii="Times New Roman" w:hAnsi="Times New Roman"/>
          <w:sz w:val="24"/>
          <w:szCs w:val="24"/>
          <w:lang w:val="en-GB"/>
        </w:rPr>
      </w:pPr>
      <w:r w:rsidRPr="00D3125C">
        <w:rPr>
          <w:rFonts w:ascii="Times New Roman" w:hAnsi="Times New Roman"/>
          <w:sz w:val="24"/>
          <w:szCs w:val="24"/>
          <w:lang w:val="en-GB"/>
        </w:rPr>
        <w:t xml:space="preserve">To evaluate the effect of forest fire time and occurrence of the aboveground biomass (AGB) and number of stems (NS) variables, we used the Generalized Estimating Equation (GEE) </w:t>
      </w:r>
      <w:r w:rsidRPr="00D3125C">
        <w:rPr>
          <w:rFonts w:ascii="Times New Roman" w:hAnsi="Times New Roman"/>
          <w:sz w:val="24"/>
          <w:szCs w:val="24"/>
          <w:lang w:val="en-GB"/>
        </w:rPr>
        <w:fldChar w:fldCharType="begin" w:fldLock="1"/>
      </w:r>
      <w:r>
        <w:rPr>
          <w:rFonts w:ascii="Times New Roman" w:hAnsi="Times New Roman"/>
          <w:sz w:val="24"/>
          <w:szCs w:val="24"/>
          <w:lang w:val="en-GB"/>
        </w:rPr>
        <w:instrText>ADDIN CSL_CITATION {"citationItems":[{"id":"ITEM-1","itemData":{"DOI":"10.2307/2531248","ISSN":"0006341X","author":[{"dropping-particle":"","family":"Zeger","given":"Scott L","non-dropping-particle":"","parse-names":false,"suffix":""},{"dropping-particle":"","family":"Liang","given":"Kung-Yee","non-dropping-particle":"","parse-names":false,"suffix":""}],"container-title":"Biometrics","id":"ITEM-1","issue":"1","issued":{"date-parts":[["1986","3"]]},"page":"121","title":"Longitudinal Data Analysis for Discrete and Continuous Outcomes","type":"article-journal","volume":"42"},"uris":["http://www.mendeley.com/documents/?uuid=fbecda55-7b5c-4d87-be21-0fbb3935b1d2"]},{"id":"ITEM-2","itemData":{"DOI":"10.1093/biomet/73.1.13","ISSN":"0006-3444","author":[{"dropping-particle":"","family":"Liang","given":"Kung-Yee","non-dropping-particle":"","parse-names":false,"suffix":""},{"dropping-particle":"","family":"Zeger","given":"Scott L","non-dropping-particle":"","parse-names":false,"suffix":""}],"container-title":"Biometrika","id":"ITEM-2","issue":"1","issued":{"date-parts":[["1986"]]},"page":"13-22","title":"Longitudinal data analysis using generalized linear models","type":"article-journal","volume":"73"},"uris":["http://www.mendeley.com/documents/?uuid=17a010ad-bbbb-4ab9-8ab4-998d9e065122"]}],"mendeley":{"formattedCitation":"[57,58]","plainTextFormattedCitation":"[57,58]","previouslyFormattedCitation":"[57,58]"},"properties":{"noteIndex":0},"schema":"https://github.com/citation-style-language/schema/raw/master/csl-citation.json"}</w:instrText>
      </w:r>
      <w:r w:rsidRPr="00D3125C">
        <w:rPr>
          <w:rFonts w:ascii="Times New Roman" w:hAnsi="Times New Roman"/>
          <w:sz w:val="24"/>
          <w:szCs w:val="24"/>
          <w:lang w:val="en-GB"/>
        </w:rPr>
        <w:fldChar w:fldCharType="separate"/>
      </w:r>
      <w:r w:rsidRPr="00BA19E5">
        <w:rPr>
          <w:rFonts w:ascii="Times New Roman" w:hAnsi="Times New Roman"/>
          <w:noProof/>
          <w:sz w:val="24"/>
          <w:szCs w:val="24"/>
          <w:lang w:val="en-GB"/>
        </w:rPr>
        <w:t>[57,58]</w:t>
      </w:r>
      <w:r w:rsidRPr="00D3125C">
        <w:rPr>
          <w:rFonts w:ascii="Times New Roman" w:hAnsi="Times New Roman"/>
          <w:sz w:val="24"/>
          <w:szCs w:val="24"/>
          <w:lang w:val="en-GB"/>
        </w:rPr>
        <w:fldChar w:fldCharType="end"/>
      </w:r>
      <w:r w:rsidRPr="00D3125C">
        <w:rPr>
          <w:rFonts w:ascii="Times New Roman" w:hAnsi="Times New Roman"/>
          <w:sz w:val="24"/>
          <w:szCs w:val="24"/>
          <w:lang w:val="en-GB"/>
        </w:rPr>
        <w:t xml:space="preserve">, with the log binding function and the Gamma distribution for AGB, and Poisson for NS. This method of adjustment has an advantage, as it evaluates the temporal autocorrelation that incorporates the correlation structure between observations within the plots </w:t>
      </w:r>
      <w:r w:rsidRPr="00D3125C">
        <w:rPr>
          <w:rFonts w:ascii="Times New Roman" w:hAnsi="Times New Roman"/>
          <w:sz w:val="24"/>
          <w:szCs w:val="24"/>
          <w:lang w:val="en-GB"/>
        </w:rPr>
        <w:fldChar w:fldCharType="begin" w:fldLock="1"/>
      </w:r>
      <w:r>
        <w:rPr>
          <w:rFonts w:ascii="Times New Roman" w:hAnsi="Times New Roman"/>
          <w:sz w:val="24"/>
          <w:szCs w:val="24"/>
          <w:lang w:val="en-GB"/>
        </w:rPr>
        <w:instrText>ADDIN CSL_CITATION {"citationItems":[{"id":"ITEM-1","itemData":{"DOI":"10.1093/biomet/73.1.13","ISSN":"0006-3444","author":[{"dropping-particle":"","family":"Liang","given":"Kung-Yee","non-dropping-particle":"","parse-names":false,"suffix":""},{"dropping-particle":"","family":"Zeger","given":"Scott L","non-dropping-particle":"","parse-names":false,"suffix":""}],"container-title":"Biometrika","id":"ITEM-1","issue":"1","issued":{"date-parts":[["1986"]]},"page":"13-22","title":"Longitudinal data analysis using generalized linear models","type":"article-journal","volume":"73"},"uris":["http://www.mendeley.com/documents/?uuid=17a010ad-bbbb-4ab9-8ab4-998d9e065122"]}],"mendeley":{"formattedCitation":"[58]","plainTextFormattedCitation":"[58]","previouslyFormattedCitation":"[58]"},"properties":{"noteIndex":0},"schema":"https://github.com/citation-style-language/schema/raw/master/csl-citation.json"}</w:instrText>
      </w:r>
      <w:r w:rsidRPr="00D3125C">
        <w:rPr>
          <w:rFonts w:ascii="Times New Roman" w:hAnsi="Times New Roman"/>
          <w:sz w:val="24"/>
          <w:szCs w:val="24"/>
          <w:lang w:val="en-GB"/>
        </w:rPr>
        <w:fldChar w:fldCharType="separate"/>
      </w:r>
      <w:r w:rsidRPr="00BA19E5">
        <w:rPr>
          <w:rFonts w:ascii="Times New Roman" w:hAnsi="Times New Roman"/>
          <w:noProof/>
          <w:sz w:val="24"/>
          <w:szCs w:val="24"/>
          <w:lang w:val="en-GB"/>
        </w:rPr>
        <w:t>[58]</w:t>
      </w:r>
      <w:r w:rsidRPr="00D3125C">
        <w:rPr>
          <w:rFonts w:ascii="Times New Roman" w:hAnsi="Times New Roman"/>
          <w:sz w:val="24"/>
          <w:szCs w:val="24"/>
          <w:lang w:val="en-GB"/>
        </w:rPr>
        <w:fldChar w:fldCharType="end"/>
      </w:r>
      <w:r w:rsidRPr="00D3125C">
        <w:rPr>
          <w:rFonts w:ascii="Times New Roman" w:hAnsi="Times New Roman"/>
          <w:sz w:val="24"/>
          <w:szCs w:val="24"/>
          <w:lang w:val="en-GB"/>
        </w:rPr>
        <w:t xml:space="preserve">. To evaluate the relationship between the predictor variables (AGB, NS, M) and dependent variables (time and </w:t>
      </w:r>
      <w:r w:rsidRPr="00D3125C">
        <w:rPr>
          <w:rFonts w:ascii="Times New Roman" w:hAnsi="Times New Roman"/>
          <w:sz w:val="24"/>
          <w:szCs w:val="24"/>
          <w:lang w:val="en-GB"/>
        </w:rPr>
        <w:lastRenderedPageBreak/>
        <w:t xml:space="preserve">forest fire), we performed the modified Wald chi-test </w:t>
      </w:r>
      <w:r w:rsidRPr="00D3125C">
        <w:rPr>
          <w:rFonts w:ascii="Times New Roman" w:hAnsi="Times New Roman"/>
          <w:sz w:val="24"/>
          <w:szCs w:val="24"/>
          <w:lang w:val="en-GB"/>
        </w:rPr>
        <w:fldChar w:fldCharType="begin" w:fldLock="1"/>
      </w:r>
      <w:r>
        <w:rPr>
          <w:rFonts w:ascii="Times New Roman" w:hAnsi="Times New Roman"/>
          <w:sz w:val="24"/>
          <w:szCs w:val="24"/>
          <w:lang w:val="en-GB"/>
        </w:rPr>
        <w:instrText>ADDIN CSL_CITATION {"citationItems":[{"id":"ITEM-1","itemData":{"DOI":"10.2307/2336986","ISBN":"0006-3444","ISSN":"00063444","author":[{"dropping-particle":"","family":"Rotnitzky","given":"Andrea","non-dropping-particle":"","parse-names":false,"suffix":""},{"dropping-particle":"","family":"Jewell","given":"Nicholas P","non-dropping-particle":"","parse-names":false,"suffix":""}],"container-title":"Biometrika","id":"ITEM-1","issue":"3","issued":{"date-parts":[["1990","9"]]},"page":"485","title":"Hypothesis Testing of Regression Parameters in Semiparametric Generalized Linear Models for Cluster Correlated Data","type":"article-journal","volume":"77"},"uris":["http://www.mendeley.com/documents/?uuid=3d792ff6-da4f-48fa-a712-9f0bb20e3b3f"]}],"mendeley":{"formattedCitation":"[59]","plainTextFormattedCitation":"[59]","previouslyFormattedCitation":"[59]"},"properties":{"noteIndex":0},"schema":"https://github.com/citation-style-language/schema/raw/master/csl-citation.json"}</w:instrText>
      </w:r>
      <w:r w:rsidRPr="00D3125C">
        <w:rPr>
          <w:rFonts w:ascii="Times New Roman" w:hAnsi="Times New Roman"/>
          <w:sz w:val="24"/>
          <w:szCs w:val="24"/>
          <w:lang w:val="en-GB"/>
        </w:rPr>
        <w:fldChar w:fldCharType="separate"/>
      </w:r>
      <w:r w:rsidRPr="00BA19E5">
        <w:rPr>
          <w:rFonts w:ascii="Times New Roman" w:hAnsi="Times New Roman"/>
          <w:noProof/>
          <w:sz w:val="24"/>
          <w:szCs w:val="24"/>
          <w:lang w:val="en-GB"/>
        </w:rPr>
        <w:t>[59]</w:t>
      </w:r>
      <w:r w:rsidRPr="00D3125C">
        <w:rPr>
          <w:rFonts w:ascii="Times New Roman" w:hAnsi="Times New Roman"/>
          <w:sz w:val="24"/>
          <w:szCs w:val="24"/>
          <w:lang w:val="en-GB"/>
        </w:rPr>
        <w:fldChar w:fldCharType="end"/>
      </w:r>
      <w:r w:rsidRPr="00D3125C">
        <w:rPr>
          <w:rFonts w:ascii="Times New Roman" w:hAnsi="Times New Roman"/>
          <w:sz w:val="24"/>
          <w:szCs w:val="24"/>
          <w:lang w:val="en-GB"/>
        </w:rPr>
        <w:t xml:space="preserve">. When effects of time, forest fire or interaction between these were apparent a Bonferroni post-hoc test was used to assess significance </w:t>
      </w:r>
      <w:r w:rsidRPr="00D3125C">
        <w:rPr>
          <w:rFonts w:ascii="Times New Roman" w:hAnsi="Times New Roman"/>
          <w:sz w:val="24"/>
          <w:szCs w:val="24"/>
          <w:lang w:val="en-GB"/>
        </w:rPr>
        <w:fldChar w:fldCharType="begin" w:fldLock="1"/>
      </w:r>
      <w:r>
        <w:rPr>
          <w:rFonts w:ascii="Times New Roman" w:hAnsi="Times New Roman"/>
          <w:sz w:val="24"/>
          <w:szCs w:val="24"/>
          <w:lang w:val="en-GB"/>
        </w:rPr>
        <w:instrText>ADDIN CSL_CITATION {"citationItems":[{"id":"ITEM-1","itemData":{"DOI":"10.1002/1521-3773(20010316)40:6&lt;9823::AID-ANIE9823&gt;3.3.CO;2-C","ISBN":"0444892508","ISSN":"14337851","PMID":"12012888","abstract":"The book describes and discusses the numerical methods which are successfully being used for analysing ecological data, using a clear and comprehensive approach. These methods are derived from the fields of mathematical physics, parametric and nonparametric statistics, information theory, numerical taxonomy, archaeology, psychometry, sociometry, econometry and others. Compared to the first edition of Numerical Ecology, this second edition includes three new chapters, dealing with the analysis of semiquantitative data, canonical analysis and spatial analysis. New sections have been added to almost all other chapters. There are sections listing available computer programs and packages at the end of several chapters. As in the previous English and French editions, there are numerous examples from the ecological literature, and the choice of methods is facilitated by several synoptic tables.","author":[{"dropping-particle":"","family":"Legendre","given":"Pierre","non-dropping-particle":"","parse-names":false,"suffix":""},{"dropping-particle":"","family":"Legendre","given":"Louis","non-dropping-particle":"","parse-names":false,"suffix":""}],"container-title":"Angewandte Chemie International Edition","edition":"2","id":"ITEM-1","issue":"6","issued":{"date-parts":[["2001","3","16"]]},"page":"9823","publisher":"Elsevier Science BV","title":"Numerical Ecology","type":"article-journal","volume":"40"},"uris":["http://www.mendeley.com/documents/?uuid=4989b5af-881c-4dd2-b2fc-65315e8647ac"]}],"mendeley":{"formattedCitation":"[60]","plainTextFormattedCitation":"[60]","previouslyFormattedCitation":"[60]"},"properties":{"noteIndex":0},"schema":"https://github.com/citation-style-language/schema/raw/master/csl-citation.json"}</w:instrText>
      </w:r>
      <w:r w:rsidRPr="00D3125C">
        <w:rPr>
          <w:rFonts w:ascii="Times New Roman" w:hAnsi="Times New Roman"/>
          <w:sz w:val="24"/>
          <w:szCs w:val="24"/>
          <w:lang w:val="en-GB"/>
        </w:rPr>
        <w:fldChar w:fldCharType="separate"/>
      </w:r>
      <w:r w:rsidRPr="00BA19E5">
        <w:rPr>
          <w:rFonts w:ascii="Times New Roman" w:hAnsi="Times New Roman"/>
          <w:noProof/>
          <w:sz w:val="24"/>
          <w:szCs w:val="24"/>
          <w:lang w:val="en-GB"/>
        </w:rPr>
        <w:t>[60]</w:t>
      </w:r>
      <w:r w:rsidRPr="00D3125C">
        <w:rPr>
          <w:rFonts w:ascii="Times New Roman" w:hAnsi="Times New Roman"/>
          <w:sz w:val="24"/>
          <w:szCs w:val="24"/>
          <w:lang w:val="en-GB"/>
        </w:rPr>
        <w:fldChar w:fldCharType="end"/>
      </w:r>
      <w:r w:rsidRPr="00D3125C">
        <w:rPr>
          <w:rFonts w:ascii="Times New Roman" w:hAnsi="Times New Roman"/>
          <w:sz w:val="24"/>
          <w:szCs w:val="24"/>
          <w:lang w:val="en-GB"/>
        </w:rPr>
        <w:t xml:space="preserve">. We performed the analysis using SPSS version 24 </w:t>
      </w:r>
      <w:r w:rsidRPr="00D3125C">
        <w:rPr>
          <w:rFonts w:ascii="Times New Roman" w:hAnsi="Times New Roman"/>
          <w:sz w:val="24"/>
          <w:szCs w:val="24"/>
          <w:lang w:val="en-GB"/>
        </w:rPr>
        <w:fldChar w:fldCharType="begin" w:fldLock="1"/>
      </w:r>
      <w:r>
        <w:rPr>
          <w:rFonts w:ascii="Times New Roman" w:hAnsi="Times New Roman"/>
          <w:sz w:val="24"/>
          <w:szCs w:val="24"/>
          <w:lang w:val="en-GB"/>
        </w:rPr>
        <w:instrText>ADDIN CSL_CITATION {"citationItems":[{"id":"ITEM-1","itemData":{"author":[{"dropping-particle":"","family":"IBM","given":"","non-dropping-particle":"","parse-names":false,"suffix":""}],"id":"ITEM-1","issued":{"date-parts":[["2018"]]},"number":"24","publisher":"IBM","publisher-place":"Chicago, Illinois","title":"SPSS Statistics","type":"article"},"uris":["http://www.mendeley.com/documents/?uuid=5ec05bcf-7434-44dc-a8ea-0f705fcecb50"]}],"mendeley":{"formattedCitation":"[61]","plainTextFormattedCitation":"[61]","previouslyFormattedCitation":"[61]"},"properties":{"noteIndex":0},"schema":"https://github.com/citation-style-language/schema/raw/master/csl-citation.json"}</w:instrText>
      </w:r>
      <w:r w:rsidRPr="00D3125C">
        <w:rPr>
          <w:rFonts w:ascii="Times New Roman" w:hAnsi="Times New Roman"/>
          <w:sz w:val="24"/>
          <w:szCs w:val="24"/>
          <w:lang w:val="en-GB"/>
        </w:rPr>
        <w:fldChar w:fldCharType="separate"/>
      </w:r>
      <w:r w:rsidRPr="00BA19E5">
        <w:rPr>
          <w:rFonts w:ascii="Times New Roman" w:hAnsi="Times New Roman"/>
          <w:noProof/>
          <w:sz w:val="24"/>
          <w:szCs w:val="24"/>
          <w:lang w:val="en-GB"/>
        </w:rPr>
        <w:t>[61]</w:t>
      </w:r>
      <w:r w:rsidRPr="00D3125C">
        <w:rPr>
          <w:rFonts w:ascii="Times New Roman" w:hAnsi="Times New Roman"/>
          <w:sz w:val="24"/>
          <w:szCs w:val="24"/>
          <w:lang w:val="en-GB"/>
        </w:rPr>
        <w:fldChar w:fldCharType="end"/>
      </w:r>
      <w:r w:rsidRPr="00D3125C">
        <w:rPr>
          <w:rFonts w:ascii="Times New Roman" w:hAnsi="Times New Roman"/>
          <w:sz w:val="24"/>
          <w:szCs w:val="24"/>
          <w:lang w:val="en-GB"/>
        </w:rPr>
        <w:t>, and adopted α &lt;0.05 as the significance level for all analyses.</w:t>
      </w:r>
    </w:p>
    <w:p w14:paraId="126E0C13"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3CF5"/>
    <w:rsid w:val="00E95803"/>
    <w:rsid w:val="00F23C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569CB3"/>
  <w15:chartTrackingRefBased/>
  <w15:docId w15:val="{2D6FD033-22F1-4D5B-BAF5-75E97EFCCE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3CF5"/>
    <w:rPr>
      <w:lang w:val="pt-B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6821</Words>
  <Characters>38883</Characters>
  <Application>Microsoft Office Word</Application>
  <DocSecurity>0</DocSecurity>
  <Lines>324</Lines>
  <Paragraphs>91</Paragraphs>
  <ScaleCrop>false</ScaleCrop>
  <Company/>
  <LinksUpToDate>false</LinksUpToDate>
  <CharactersWithSpaces>45613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2020-05-27T23:42:00Z</dcterms:created>
  <dcterms:modified xsi:type="dcterms:W3CDTF">2020-05-27T23:42:00Z</dcterms:modified>
</cp:coreProperties>
</file>