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245"/>
        <w:gridCol w:w="1343"/>
        <w:gridCol w:w="1608"/>
        <w:gridCol w:w="2704"/>
        <w:gridCol w:w="1432"/>
      </w:tblGrid>
      <w:tr w:rsidR="00181C0C" w:rsidTr="00181C0C">
        <w:trPr>
          <w:trHeight w:val="620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Sources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Treatments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Varieties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Interaction between Treatments and Varieties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Error</w:t>
            </w:r>
          </w:p>
        </w:tc>
      </w:tr>
      <w:tr w:rsidR="00181C0C" w:rsidTr="00181C0C">
        <w:trPr>
          <w:trHeight w:val="467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Degree of freedom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</w:p>
        </w:tc>
      </w:tr>
      <w:tr w:rsidR="00181C0C" w:rsidTr="00181C0C">
        <w:trPr>
          <w:trHeight w:val="482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Plant Height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528.145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3768.925  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3399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72.613  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59.085</w:t>
            </w:r>
          </w:p>
        </w:tc>
      </w:tr>
      <w:tr w:rsidR="00181C0C" w:rsidTr="00181C0C">
        <w:trPr>
          <w:trHeight w:val="323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Root Length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63.5  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108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3399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2.8629</w:t>
            </w:r>
          </w:p>
        </w:tc>
      </w:tr>
      <w:tr w:rsidR="00181C0C" w:rsidTr="00181C0C">
        <w:trPr>
          <w:trHeight w:val="377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Plant Fresh Biomass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719.269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672.751   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3399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10.858  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27.72</w:t>
            </w:r>
          </w:p>
        </w:tc>
      </w:tr>
      <w:tr w:rsidR="00181C0C" w:rsidTr="00181C0C">
        <w:trPr>
          <w:trHeight w:val="467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Plant Dry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iomass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52.166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3399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2.190   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3399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1.669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1.2305</w:t>
            </w:r>
          </w:p>
        </w:tc>
      </w:tr>
      <w:tr w:rsidR="00181C0C" w:rsidTr="00181C0C">
        <w:trPr>
          <w:trHeight w:val="305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Water Potential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3.1027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4.941 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3399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0.1005 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0.2416</w:t>
            </w:r>
          </w:p>
        </w:tc>
      </w:tr>
      <w:tr w:rsidR="00181C0C" w:rsidTr="00181C0C">
        <w:trPr>
          <w:trHeight w:val="467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Osmotic Potential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1.7971 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60.570   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3399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0.0891  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0.1364</w:t>
            </w:r>
          </w:p>
        </w:tc>
      </w:tr>
      <w:tr w:rsidR="00181C0C" w:rsidTr="00181C0C">
        <w:trPr>
          <w:trHeight w:val="287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No. of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Siliqua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 plant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197.33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1437.370   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3399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12.953 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13.467</w:t>
            </w:r>
          </w:p>
        </w:tc>
      </w:tr>
      <w:tr w:rsidR="00181C0C" w:rsidTr="00181C0C">
        <w:trPr>
          <w:trHeight w:val="548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No. of Seeds Per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Siliqua</w:t>
            </w:r>
            <w:proofErr w:type="spellEnd"/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113.65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3399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4.083 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990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12.167  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4.3722</w:t>
            </w:r>
          </w:p>
        </w:tc>
      </w:tr>
      <w:tr w:rsidR="00181C0C" w:rsidTr="00181C0C">
        <w:trPr>
          <w:trHeight w:val="467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Catalase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1426.875  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7114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453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42.255</w:t>
            </w:r>
          </w:p>
        </w:tc>
      </w:tr>
      <w:tr w:rsidR="00181C0C" w:rsidTr="00181C0C">
        <w:trPr>
          <w:trHeight w:val="305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Superoxide Dismutase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1265.44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2548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118.521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26.5</w:t>
            </w:r>
          </w:p>
        </w:tc>
      </w:tr>
      <w:tr w:rsidR="00181C0C" w:rsidTr="00181C0C">
        <w:trPr>
          <w:trHeight w:val="467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Peroxidase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322.021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4033.33  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51.020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21.211</w:t>
            </w:r>
          </w:p>
        </w:tc>
      </w:tr>
      <w:tr w:rsidR="00181C0C" w:rsidTr="00181C0C">
        <w:trPr>
          <w:trHeight w:val="467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Ascorbate Peroxidase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56.812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1610.08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3399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7.1458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9.5611</w:t>
            </w:r>
          </w:p>
        </w:tc>
      </w:tr>
      <w:tr w:rsidR="00181C0C" w:rsidTr="00181C0C">
        <w:trPr>
          <w:trHeight w:val="482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Proteins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24520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3174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990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4989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1731</w:t>
            </w:r>
          </w:p>
        </w:tc>
      </w:tr>
      <w:tr w:rsidR="00181C0C" w:rsidTr="00181C0C">
        <w:trPr>
          <w:trHeight w:val="467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Amino acids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33279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3.160  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1015 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4398</w:t>
            </w:r>
          </w:p>
        </w:tc>
      </w:tr>
      <w:tr w:rsidR="00181C0C" w:rsidTr="00181C0C">
        <w:trPr>
          <w:trHeight w:val="422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Soluble Sugars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1099.48  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14295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439.86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27.282</w:t>
            </w:r>
          </w:p>
        </w:tc>
      </w:tr>
      <w:tr w:rsidR="00181C0C" w:rsidTr="00181C0C">
        <w:trPr>
          <w:trHeight w:val="305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Photosynthetic Rate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1.0945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31.969  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3399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0.0868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0.054</w:t>
            </w:r>
          </w:p>
        </w:tc>
      </w:tr>
      <w:tr w:rsidR="00181C0C" w:rsidTr="00181C0C">
        <w:trPr>
          <w:trHeight w:val="278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Transpiration Rate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0.0565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3.050   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0.0165  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0.002</w:t>
            </w:r>
          </w:p>
        </w:tc>
      </w:tr>
      <w:tr w:rsidR="00181C0C" w:rsidTr="00181C0C">
        <w:trPr>
          <w:trHeight w:val="323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Stomatal Conductance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22.430 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1651.58 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3399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4.8679 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3.592</w:t>
            </w:r>
          </w:p>
        </w:tc>
      </w:tr>
      <w:tr w:rsidR="00181C0C" w:rsidTr="00181C0C">
        <w:trPr>
          <w:trHeight w:val="368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Water Use Efficiency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3.9056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84.623   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3399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0.2691 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0.247</w:t>
            </w:r>
          </w:p>
        </w:tc>
      </w:tr>
      <w:tr w:rsidR="00181C0C" w:rsidTr="00181C0C">
        <w:trPr>
          <w:trHeight w:val="368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Melatonin content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249.0833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11285.333    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990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49.2083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15.867</w:t>
            </w:r>
          </w:p>
        </w:tc>
      </w:tr>
      <w:tr w:rsidR="00181C0C" w:rsidTr="00181C0C">
        <w:trPr>
          <w:trHeight w:val="368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Salicylic acid content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245.0625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21505.333   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66.3958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C0C" w:rsidRDefault="00181C0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15.0778</w:t>
            </w:r>
          </w:p>
        </w:tc>
      </w:tr>
    </w:tbl>
    <w:p w:rsidR="00181C0C" w:rsidRDefault="00181C0C" w:rsidP="00181C0C">
      <w:pPr>
        <w:rPr>
          <w:color w:val="000000" w:themeColor="text1"/>
        </w:rPr>
      </w:pPr>
    </w:p>
    <w:tbl>
      <w:tblPr>
        <w:tblStyle w:val="TableGrid"/>
        <w:tblpPr w:leftFromText="180" w:rightFromText="180" w:vertAnchor="text" w:horzAnchor="margin" w:tblpY="21"/>
        <w:tblW w:w="0" w:type="auto"/>
        <w:tblInd w:w="0" w:type="dxa"/>
        <w:shd w:val="clear" w:color="auto" w:fill="00B0F0"/>
        <w:tblLook w:val="04A0" w:firstRow="1" w:lastRow="0" w:firstColumn="1" w:lastColumn="0" w:noHBand="0" w:noVBand="1"/>
      </w:tblPr>
      <w:tblGrid>
        <w:gridCol w:w="240"/>
      </w:tblGrid>
      <w:tr w:rsidR="00181C0C" w:rsidTr="00181C0C">
        <w:trPr>
          <w:trHeight w:val="257"/>
        </w:trPr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181C0C" w:rsidRDefault="00181C0C">
            <w:pPr>
              <w:rPr>
                <w:color w:val="000000" w:themeColor="text1"/>
                <w:sz w:val="4"/>
                <w:szCs w:val="4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4011" w:tblpY="-34"/>
        <w:tblW w:w="0" w:type="auto"/>
        <w:tblInd w:w="0" w:type="dxa"/>
        <w:shd w:val="clear" w:color="auto" w:fill="CC9900"/>
        <w:tblLook w:val="04A0" w:firstRow="1" w:lastRow="0" w:firstColumn="1" w:lastColumn="0" w:noHBand="0" w:noVBand="1"/>
      </w:tblPr>
      <w:tblGrid>
        <w:gridCol w:w="241"/>
      </w:tblGrid>
      <w:tr w:rsidR="00181C0C" w:rsidTr="00181C0C">
        <w:trPr>
          <w:trHeight w:val="195"/>
        </w:trPr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9900"/>
          </w:tcPr>
          <w:p w:rsidR="00181C0C" w:rsidRDefault="00181C0C">
            <w:pPr>
              <w:rPr>
                <w:color w:val="000000" w:themeColor="text1"/>
                <w:sz w:val="4"/>
                <w:szCs w:val="4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582" w:tblpY="-52"/>
        <w:tblW w:w="0" w:type="auto"/>
        <w:tblInd w:w="0" w:type="dxa"/>
        <w:shd w:val="clear" w:color="auto" w:fill="FFFF00"/>
        <w:tblLook w:val="04A0" w:firstRow="1" w:lastRow="0" w:firstColumn="1" w:lastColumn="0" w:noHBand="0" w:noVBand="1"/>
      </w:tblPr>
      <w:tblGrid>
        <w:gridCol w:w="251"/>
      </w:tblGrid>
      <w:tr w:rsidR="00181C0C" w:rsidTr="00181C0C">
        <w:trPr>
          <w:trHeight w:val="255"/>
        </w:trPr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81C0C" w:rsidRDefault="00181C0C">
            <w:pPr>
              <w:ind w:left="-18"/>
              <w:rPr>
                <w:color w:val="000000" w:themeColor="text1"/>
                <w:sz w:val="4"/>
                <w:szCs w:val="4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897" w:tblpY="-34"/>
        <w:tblW w:w="0" w:type="auto"/>
        <w:tblInd w:w="0" w:type="dxa"/>
        <w:shd w:val="clear" w:color="auto" w:fill="FF3399"/>
        <w:tblLook w:val="04A0" w:firstRow="1" w:lastRow="0" w:firstColumn="1" w:lastColumn="0" w:noHBand="0" w:noVBand="1"/>
      </w:tblPr>
      <w:tblGrid>
        <w:gridCol w:w="247"/>
      </w:tblGrid>
      <w:tr w:rsidR="00181C0C" w:rsidTr="00181C0C">
        <w:trPr>
          <w:trHeight w:val="271"/>
        </w:trPr>
        <w:tc>
          <w:tcPr>
            <w:tcW w:w="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3399"/>
          </w:tcPr>
          <w:p w:rsidR="00181C0C" w:rsidRDefault="00181C0C">
            <w:pPr>
              <w:rPr>
                <w:color w:val="000000" w:themeColor="text1"/>
                <w:sz w:val="4"/>
                <w:szCs w:val="4"/>
              </w:rPr>
            </w:pPr>
          </w:p>
        </w:tc>
      </w:tr>
    </w:tbl>
    <w:p w:rsidR="00181C0C" w:rsidRDefault="00181C0C" w:rsidP="00181C0C">
      <w:pPr>
        <w:spacing w:after="160" w:line="256" w:lineRule="auto"/>
        <w:rPr>
          <w:color w:val="000000" w:themeColor="text1"/>
          <w:sz w:val="18"/>
          <w:szCs w:val="18"/>
        </w:rPr>
      </w:pPr>
      <w:r>
        <w:rPr>
          <w:color w:val="000000" w:themeColor="text1"/>
          <w:sz w:val="18"/>
          <w:szCs w:val="18"/>
        </w:rPr>
        <w:t>= Significant at p</w:t>
      </w:r>
      <w:r>
        <w:rPr>
          <w:rFonts w:cstheme="minorHAnsi"/>
          <w:color w:val="000000" w:themeColor="text1"/>
          <w:sz w:val="18"/>
          <w:szCs w:val="18"/>
        </w:rPr>
        <w:t>&lt;</w:t>
      </w:r>
      <w:r>
        <w:rPr>
          <w:color w:val="000000" w:themeColor="text1"/>
          <w:sz w:val="18"/>
          <w:szCs w:val="18"/>
        </w:rPr>
        <w:t xml:space="preserve">0.001   </w:t>
      </w:r>
      <w:r>
        <w:rPr>
          <w:color w:val="000000" w:themeColor="text1"/>
        </w:rPr>
        <w:t xml:space="preserve"> </w:t>
      </w:r>
      <w:r>
        <w:rPr>
          <w:color w:val="000000" w:themeColor="text1"/>
          <w:sz w:val="18"/>
          <w:szCs w:val="18"/>
        </w:rPr>
        <w:t>= Significant at p</w:t>
      </w:r>
      <w:r>
        <w:rPr>
          <w:rFonts w:cstheme="minorHAnsi"/>
          <w:color w:val="000000" w:themeColor="text1"/>
          <w:sz w:val="18"/>
          <w:szCs w:val="18"/>
        </w:rPr>
        <w:t>&lt;</w:t>
      </w:r>
      <w:r>
        <w:rPr>
          <w:color w:val="000000" w:themeColor="text1"/>
          <w:sz w:val="18"/>
          <w:szCs w:val="18"/>
        </w:rPr>
        <w:t>0.01</w:t>
      </w:r>
      <w:r>
        <w:rPr>
          <w:color w:val="000000" w:themeColor="text1"/>
        </w:rPr>
        <w:t xml:space="preserve">     = </w:t>
      </w:r>
      <w:r>
        <w:rPr>
          <w:color w:val="000000" w:themeColor="text1"/>
          <w:sz w:val="18"/>
          <w:szCs w:val="18"/>
        </w:rPr>
        <w:t>Significant at p</w:t>
      </w:r>
      <w:r>
        <w:rPr>
          <w:rFonts w:cstheme="minorHAnsi"/>
          <w:color w:val="000000" w:themeColor="text1"/>
          <w:sz w:val="18"/>
          <w:szCs w:val="18"/>
        </w:rPr>
        <w:t>&lt;</w:t>
      </w:r>
      <w:r>
        <w:rPr>
          <w:color w:val="000000" w:themeColor="text1"/>
          <w:sz w:val="18"/>
          <w:szCs w:val="18"/>
        </w:rPr>
        <w:t>0.05</w:t>
      </w:r>
      <w:r>
        <w:rPr>
          <w:color w:val="000000" w:themeColor="text1"/>
        </w:rPr>
        <w:t xml:space="preserve"> </w:t>
      </w:r>
      <w:r>
        <w:rPr>
          <w:color w:val="000000" w:themeColor="text1"/>
          <w:sz w:val="18"/>
          <w:szCs w:val="18"/>
        </w:rPr>
        <w:t>= Not Significant</w:t>
      </w:r>
    </w:p>
    <w:p w:rsidR="00181C0C" w:rsidRDefault="00181C0C" w:rsidP="00181C0C">
      <w:pPr>
        <w:spacing w:after="160" w:line="256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181C0C" w:rsidRDefault="00181C0C" w:rsidP="00181C0C">
      <w:pPr>
        <w:spacing w:after="160" w:line="25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lastRenderedPageBreak/>
        <w:t>Table 1</w:t>
      </w:r>
      <w:r>
        <w:rPr>
          <w:rFonts w:ascii="Times New Roman" w:hAnsi="Times New Roman" w:cs="Times New Roman"/>
          <w:color w:val="000000" w:themeColor="text1"/>
        </w:rPr>
        <w:t>: Mean Sum of Square (ANOVA) for growth, yield, photosynthetic, Enzymatic antioxidants, and Biochemical attributes of two canola cultivars, showing the effect of different treatments under normal and drought stress conditions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C0C"/>
    <w:rsid w:val="00181C0C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DB177C-E8FB-4D5F-8219-7C6359541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1C0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1C0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70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2022-08-03T06:28:00Z</dcterms:created>
  <dcterms:modified xsi:type="dcterms:W3CDTF">2022-08-03T06:28:00Z</dcterms:modified>
</cp:coreProperties>
</file>