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F57" w:rsidRDefault="00BA4484"/>
    <w:p w:rsidR="00BA4484" w:rsidRDefault="00BA4484"/>
    <w:p w:rsidR="00BA4484" w:rsidRDefault="00BA4484"/>
    <w:p w:rsidR="00BA4484" w:rsidRDefault="00BA4484"/>
    <w:tbl>
      <w:tblPr>
        <w:tblW w:w="12333" w:type="dxa"/>
        <w:tblLook w:val="04A0" w:firstRow="1" w:lastRow="0" w:firstColumn="1" w:lastColumn="0" w:noHBand="0" w:noVBand="1"/>
      </w:tblPr>
      <w:tblGrid>
        <w:gridCol w:w="3735"/>
        <w:gridCol w:w="1415"/>
        <w:gridCol w:w="1992"/>
        <w:gridCol w:w="1842"/>
        <w:gridCol w:w="1842"/>
        <w:gridCol w:w="1507"/>
      </w:tblGrid>
      <w:tr w:rsidR="00BA4484" w:rsidRPr="00E251D0" w:rsidTr="002B772A">
        <w:trPr>
          <w:trHeight w:val="315"/>
        </w:trPr>
        <w:tc>
          <w:tcPr>
            <w:tcW w:w="1233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251D0">
              <w:rPr>
                <w:rFonts w:hint="eastAsia"/>
              </w:rPr>
              <w:br w:type="page"/>
            </w:r>
            <w:r w:rsidRPr="00E251D0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Supplemental Table 1. Adjusted relationships of baseline serum ferritin levels to incident NAFLD (n = 13,374).</w:t>
            </w:r>
          </w:p>
        </w:tc>
      </w:tr>
      <w:tr w:rsidR="00BA4484" w:rsidRPr="00E251D0" w:rsidTr="002B772A">
        <w:trPr>
          <w:trHeight w:val="375"/>
        </w:trPr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DengXian" w:eastAsia="DengXian" w:hAnsi="DengXian" w:cs="SimSun"/>
                <w:color w:val="000000"/>
              </w:rPr>
            </w:pPr>
            <w:r w:rsidRPr="00E251D0">
              <w:rPr>
                <w:rFonts w:ascii="DengXian" w:eastAsia="DengXian" w:hAnsi="DengXian" w:cs="SimSun" w:hint="eastAsia"/>
                <w:color w:val="000000"/>
              </w:rPr>
              <w:t xml:space="preserve">　</w:t>
            </w:r>
          </w:p>
        </w:tc>
        <w:tc>
          <w:tcPr>
            <w:tcW w:w="709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Quartiles of ferritin</w:t>
            </w:r>
          </w:p>
        </w:tc>
        <w:tc>
          <w:tcPr>
            <w:tcW w:w="150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for trend 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</w:p>
        </w:tc>
      </w:tr>
      <w:tr w:rsidR="00BA4484" w:rsidRPr="00E251D0" w:rsidTr="002B772A">
        <w:trPr>
          <w:trHeight w:val="315"/>
        </w:trPr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　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Level 1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Level 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Level 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Level 4</w:t>
            </w:r>
          </w:p>
        </w:tc>
        <w:tc>
          <w:tcPr>
            <w:tcW w:w="150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</w:p>
        </w:tc>
      </w:tr>
      <w:tr w:rsidR="00BA4484" w:rsidRPr="00E251D0" w:rsidTr="002B772A">
        <w:trPr>
          <w:trHeight w:val="308"/>
        </w:trPr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Serum ferritin levels (ng/mL, range)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0~44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44~61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61~123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123~1103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A4484" w:rsidRPr="00E251D0" w:rsidTr="002B772A">
        <w:trPr>
          <w:trHeight w:val="308"/>
        </w:trPr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No. of subjects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3,349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3,338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3,343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3,344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A4484" w:rsidRPr="00E251D0" w:rsidTr="002B772A">
        <w:trPr>
          <w:trHeight w:val="308"/>
        </w:trPr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Person-years of follow up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9,888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9,668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8,766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7,528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A4484" w:rsidRPr="00E251D0" w:rsidTr="002B772A">
        <w:trPr>
          <w:trHeight w:val="375"/>
        </w:trPr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No. of NAFLD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158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299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381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BA4484" w:rsidRPr="00E251D0" w:rsidTr="002B772A">
        <w:trPr>
          <w:trHeight w:val="353"/>
        </w:trPr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   Model 1 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1.05 (0.84, 1.30) 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2.24 (1.85, 2.72)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3.60 (2.99, 4.34)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BA4484" w:rsidRPr="00E251D0" w:rsidTr="002B772A">
        <w:trPr>
          <w:trHeight w:val="353"/>
        </w:trPr>
        <w:tc>
          <w:tcPr>
            <w:tcW w:w="3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   Model 2 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1.03 (0.83, 1.28)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1.67 (1.35, 2.06)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2.38 (1.91, 2.98)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BA4484" w:rsidRPr="00E251D0" w:rsidTr="002B772A">
        <w:trPr>
          <w:trHeight w:val="353"/>
        </w:trPr>
        <w:tc>
          <w:tcPr>
            <w:tcW w:w="3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   Model 3 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</w:p>
        </w:tc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reference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1.00 (0.80, 1.25)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1.57 (1.26, 1.96)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2.07 (1.55, 2.76)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&lt; 0.0001</w:t>
            </w:r>
          </w:p>
        </w:tc>
      </w:tr>
      <w:tr w:rsidR="00BA4484" w:rsidRPr="00E251D0" w:rsidTr="002B772A">
        <w:trPr>
          <w:trHeight w:val="308"/>
        </w:trPr>
        <w:tc>
          <w:tcPr>
            <w:tcW w:w="12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bookmarkStart w:id="0" w:name="_GoBack"/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lastRenderedPageBreak/>
              <w:t>NAFLD, non-alcohol fatty liver disease.</w:t>
            </w:r>
          </w:p>
        </w:tc>
      </w:tr>
      <w:bookmarkEnd w:id="0"/>
      <w:tr w:rsidR="00BA4484" w:rsidRPr="00E251D0" w:rsidTr="002B772A">
        <w:trPr>
          <w:trHeight w:val="375"/>
        </w:trPr>
        <w:tc>
          <w:tcPr>
            <w:tcW w:w="12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Analysis by Cox proportional hazards regression model.</w:t>
            </w:r>
          </w:p>
        </w:tc>
      </w:tr>
      <w:tr w:rsidR="00BA4484" w:rsidRPr="00E251D0" w:rsidTr="002B772A">
        <w:trPr>
          <w:trHeight w:val="375"/>
        </w:trPr>
        <w:tc>
          <w:tcPr>
            <w:tcW w:w="12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 xml:space="preserve">b 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Crude model.</w:t>
            </w:r>
          </w:p>
        </w:tc>
      </w:tr>
      <w:tr w:rsidR="00BA4484" w:rsidRPr="00E251D0" w:rsidTr="002B772A">
        <w:trPr>
          <w:trHeight w:val="315"/>
        </w:trPr>
        <w:tc>
          <w:tcPr>
            <w:tcW w:w="12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c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Adjusted hazard ratios (95% confidence interval) (all such values).</w:t>
            </w:r>
          </w:p>
        </w:tc>
      </w:tr>
      <w:tr w:rsidR="00BA4484" w:rsidRPr="00E251D0" w:rsidTr="002B772A">
        <w:trPr>
          <w:trHeight w:val="390"/>
        </w:trPr>
        <w:tc>
          <w:tcPr>
            <w:tcW w:w="12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d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Adjusted for age, sex, and baseline body mass index.</w:t>
            </w:r>
          </w:p>
        </w:tc>
      </w:tr>
      <w:tr w:rsidR="00BA4484" w:rsidRPr="00E251D0" w:rsidTr="002B772A">
        <w:trPr>
          <w:trHeight w:val="863"/>
        </w:trPr>
        <w:tc>
          <w:tcPr>
            <w:tcW w:w="1233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A4484" w:rsidRPr="00E251D0" w:rsidRDefault="00BA4484" w:rsidP="002B772A">
            <w:pPr>
              <w:spacing w:line="480" w:lineRule="auto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  <w:vertAlign w:val="superscript"/>
              </w:rPr>
              <w:t>e</w:t>
            </w:r>
            <w:r w:rsidRPr="00E251D0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 Additionally adjusted for baseline serum ferritin, hypertension, diabetes, hyperlipidemia, anemia, smoking status, alcohol drinking status, and family history of diseases (hypertension, cardiovascular disease, hyperlipidemia and diabetes).</w:t>
            </w:r>
          </w:p>
        </w:tc>
      </w:tr>
    </w:tbl>
    <w:p w:rsidR="00BA4484" w:rsidRDefault="00BA4484">
      <w:r w:rsidRPr="00E251D0">
        <w:rPr>
          <w:rFonts w:hint="eastAsia"/>
        </w:rPr>
        <w:br w:type="page"/>
      </w:r>
    </w:p>
    <w:sectPr w:rsidR="00BA4484" w:rsidSect="00BA448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484"/>
    <w:rsid w:val="0007695B"/>
    <w:rsid w:val="005615C6"/>
    <w:rsid w:val="005E078B"/>
    <w:rsid w:val="007D4061"/>
    <w:rsid w:val="008B4EED"/>
    <w:rsid w:val="00B03778"/>
    <w:rsid w:val="00BA4484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68AB7"/>
  <w15:chartTrackingRefBased/>
  <w15:docId w15:val="{134D5220-973A-4A0B-A3EB-0FEA1BEDD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170</Words>
  <Characters>970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2022-02-18T06:09:00Z</dcterms:created>
  <dcterms:modified xsi:type="dcterms:W3CDTF">2022-02-18T06:09:00Z</dcterms:modified>
</cp:coreProperties>
</file>