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E31" w:rsidRPr="00B8320D" w:rsidRDefault="00DD1E31" w:rsidP="00DD1E31">
      <w:pPr>
        <w:pStyle w:val="p0"/>
        <w:spacing w:before="240" w:after="120" w:line="480" w:lineRule="auto"/>
        <w:rPr>
          <w:b/>
          <w:sz w:val="28"/>
          <w:szCs w:val="28"/>
        </w:rPr>
      </w:pPr>
      <w:r w:rsidRPr="00B8320D">
        <w:rPr>
          <w:b/>
          <w:sz w:val="28"/>
          <w:szCs w:val="28"/>
        </w:rPr>
        <w:t>Appendix</w:t>
      </w:r>
    </w:p>
    <w:p w:rsidR="00DD1E31" w:rsidRPr="00B8320D" w:rsidRDefault="00DD1E31" w:rsidP="00DD1E31">
      <w:pPr>
        <w:spacing w:beforeLines="50" w:before="120" w:afterLines="50" w:after="120" w:line="360" w:lineRule="auto"/>
        <w:rPr>
          <w:b/>
          <w:i/>
          <w:sz w:val="24"/>
        </w:rPr>
      </w:pPr>
      <w:r w:rsidRPr="00B8320D">
        <w:rPr>
          <w:b/>
          <w:i/>
          <w:sz w:val="24"/>
        </w:rPr>
        <w:t>A. Progressive failure criteria for modelling 3D-printed CCF/PA composites</w:t>
      </w:r>
    </w:p>
    <w:p w:rsidR="00DD1E31" w:rsidRPr="00B8320D" w:rsidRDefault="00DD1E31" w:rsidP="00DD1E31">
      <w:pPr>
        <w:spacing w:line="360" w:lineRule="auto"/>
        <w:ind w:firstLineChars="100" w:firstLine="240"/>
        <w:rPr>
          <w:sz w:val="24"/>
        </w:rPr>
      </w:pPr>
      <w:r w:rsidRPr="00B8320D">
        <w:rPr>
          <w:sz w:val="24"/>
        </w:rPr>
        <w:t xml:space="preserve">When modelling the continuous fibre, i.e., CCF/PA composites, the material constitutive relations is presumed to be a plane stress orthotropic material with linear elasticity, by which the constitutive response of the material can be calculated based on continuum damage mechanics as follows: </w:t>
      </w:r>
    </w:p>
    <w:p w:rsidR="00DD1E31" w:rsidRPr="00B8320D" w:rsidRDefault="00DD1E31" w:rsidP="00DD1E31">
      <w:pPr>
        <w:wordWrap w:val="0"/>
        <w:spacing w:line="360" w:lineRule="auto"/>
        <w:ind w:firstLineChars="100" w:firstLine="210"/>
        <w:jc w:val="right"/>
        <w:textAlignment w:val="center"/>
      </w:pPr>
      <w:r w:rsidRPr="00B8320D">
        <w:object w:dxaOrig="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8pt" o:ole="">
            <v:imagedata r:id="rId4" o:title=""/>
          </v:shape>
          <o:OLEObject Type="Embed" ProgID="Equation.DSMT4" ShapeID="_x0000_i1025" DrawAspect="Content" ObjectID="_1710579460" r:id="rId5"/>
        </w:object>
      </w:r>
      <w:r w:rsidRPr="00B8320D">
        <w:t xml:space="preserve">                                      </w:t>
      </w:r>
      <w:r w:rsidRPr="00B8320D">
        <w:rPr>
          <w:sz w:val="24"/>
        </w:rPr>
        <w:t>(A1)</w:t>
      </w:r>
    </w:p>
    <w:p w:rsidR="00DD1E31" w:rsidRPr="00B8320D" w:rsidRDefault="00DD1E31" w:rsidP="00DD1E31">
      <w:pPr>
        <w:spacing w:line="360" w:lineRule="auto"/>
        <w:rPr>
          <w:sz w:val="24"/>
        </w:rPr>
      </w:pPr>
      <w:r w:rsidRPr="00B8320D">
        <w:rPr>
          <w:rFonts w:hint="eastAsia"/>
          <w:sz w:val="24"/>
        </w:rPr>
        <w:t>where</w:t>
      </w:r>
      <w:r w:rsidRPr="00B8320D">
        <w:rPr>
          <w:sz w:val="24"/>
        </w:rPr>
        <w:t xml:space="preserve"> </w:t>
      </w:r>
      <w:r w:rsidRPr="00B8320D">
        <w:rPr>
          <w:b/>
          <w:i/>
          <w:sz w:val="24"/>
        </w:rPr>
        <w:t xml:space="preserve">ε </w:t>
      </w:r>
      <w:r w:rsidRPr="00B8320D">
        <w:rPr>
          <w:sz w:val="24"/>
        </w:rPr>
        <w:t xml:space="preserve">is the elastic strain and </w:t>
      </w:r>
      <w:r w:rsidRPr="00B8320D">
        <w:rPr>
          <w:b/>
          <w:i/>
          <w:sz w:val="24"/>
        </w:rPr>
        <w:t>ε</w:t>
      </w:r>
      <w:r w:rsidRPr="00B8320D">
        <w:rPr>
          <w:sz w:val="24"/>
        </w:rPr>
        <w:t xml:space="preserve"> = (</w:t>
      </w:r>
      <w:r w:rsidRPr="00B8320D">
        <w:rPr>
          <w:i/>
          <w:sz w:val="24"/>
        </w:rPr>
        <w:t>ε</w:t>
      </w:r>
      <w:r w:rsidRPr="00B8320D">
        <w:rPr>
          <w:sz w:val="24"/>
          <w:vertAlign w:val="subscript"/>
        </w:rPr>
        <w:t>11</w:t>
      </w:r>
      <w:r w:rsidRPr="00B8320D">
        <w:rPr>
          <w:sz w:val="24"/>
        </w:rPr>
        <w:t xml:space="preserve">, </w:t>
      </w:r>
      <w:r w:rsidRPr="00B8320D">
        <w:rPr>
          <w:i/>
          <w:sz w:val="24"/>
        </w:rPr>
        <w:t>ε</w:t>
      </w:r>
      <w:r w:rsidRPr="00B8320D">
        <w:rPr>
          <w:sz w:val="24"/>
          <w:vertAlign w:val="subscript"/>
        </w:rPr>
        <w:t>22</w:t>
      </w:r>
      <w:r w:rsidRPr="00B8320D">
        <w:rPr>
          <w:sz w:val="24"/>
        </w:rPr>
        <w:t>,</w:t>
      </w:r>
      <w:r w:rsidRPr="00B8320D">
        <w:rPr>
          <w:i/>
          <w:sz w:val="24"/>
        </w:rPr>
        <w:t xml:space="preserve"> ε</w:t>
      </w:r>
      <w:r w:rsidRPr="00B8320D">
        <w:rPr>
          <w:sz w:val="24"/>
          <w:vertAlign w:val="subscript"/>
        </w:rPr>
        <w:t>12</w:t>
      </w:r>
      <w:r w:rsidRPr="00B8320D">
        <w:rPr>
          <w:sz w:val="24"/>
        </w:rPr>
        <w:t>)</w:t>
      </w:r>
      <w:r w:rsidRPr="00B8320D">
        <w:rPr>
          <w:i/>
          <w:sz w:val="24"/>
          <w:vertAlign w:val="superscript"/>
        </w:rPr>
        <w:t>T</w:t>
      </w:r>
      <w:r w:rsidRPr="00B8320D">
        <w:rPr>
          <w:sz w:val="24"/>
        </w:rPr>
        <w:t xml:space="preserve">, </w:t>
      </w:r>
      <w:r w:rsidRPr="00B8320D">
        <w:rPr>
          <w:b/>
          <w:i/>
          <w:sz w:val="24"/>
        </w:rPr>
        <w:t xml:space="preserve">σ </w:t>
      </w:r>
      <w:r w:rsidRPr="00B8320D">
        <w:rPr>
          <w:sz w:val="24"/>
        </w:rPr>
        <w:t xml:space="preserve">is the stress vector and </w:t>
      </w:r>
      <w:r w:rsidRPr="00B8320D">
        <w:rPr>
          <w:b/>
          <w:i/>
          <w:sz w:val="24"/>
        </w:rPr>
        <w:t>σ</w:t>
      </w:r>
      <w:r w:rsidRPr="00B8320D">
        <w:rPr>
          <w:sz w:val="24"/>
        </w:rPr>
        <w:t xml:space="preserve"> = (</w:t>
      </w:r>
      <w:r w:rsidRPr="00B8320D">
        <w:rPr>
          <w:i/>
          <w:sz w:val="24"/>
        </w:rPr>
        <w:t>σ</w:t>
      </w:r>
      <w:r w:rsidRPr="00B8320D">
        <w:rPr>
          <w:sz w:val="24"/>
          <w:vertAlign w:val="subscript"/>
        </w:rPr>
        <w:t>11</w:t>
      </w:r>
      <w:r w:rsidRPr="00B8320D">
        <w:rPr>
          <w:sz w:val="24"/>
        </w:rPr>
        <w:t xml:space="preserve">, </w:t>
      </w:r>
      <w:r w:rsidRPr="00B8320D">
        <w:rPr>
          <w:i/>
          <w:sz w:val="24"/>
        </w:rPr>
        <w:t>σ</w:t>
      </w:r>
      <w:r w:rsidRPr="00B8320D">
        <w:rPr>
          <w:sz w:val="24"/>
          <w:vertAlign w:val="subscript"/>
        </w:rPr>
        <w:t>22</w:t>
      </w:r>
      <w:r w:rsidRPr="00B8320D">
        <w:rPr>
          <w:sz w:val="24"/>
        </w:rPr>
        <w:t>,</w:t>
      </w:r>
      <w:r w:rsidRPr="00B8320D">
        <w:rPr>
          <w:i/>
          <w:sz w:val="24"/>
        </w:rPr>
        <w:t xml:space="preserve"> σ</w:t>
      </w:r>
      <w:r w:rsidRPr="00B8320D">
        <w:rPr>
          <w:sz w:val="24"/>
          <w:vertAlign w:val="subscript"/>
        </w:rPr>
        <w:t>12</w:t>
      </w:r>
      <w:r w:rsidRPr="00B8320D">
        <w:rPr>
          <w:sz w:val="24"/>
        </w:rPr>
        <w:t>)</w:t>
      </w:r>
      <w:r w:rsidRPr="00B8320D">
        <w:rPr>
          <w:i/>
          <w:sz w:val="24"/>
          <w:vertAlign w:val="superscript"/>
        </w:rPr>
        <w:t>T</w:t>
      </w:r>
      <w:r w:rsidRPr="00B8320D">
        <w:rPr>
          <w:sz w:val="24"/>
        </w:rPr>
        <w:t xml:space="preserve">, and </w:t>
      </w:r>
      <w:r w:rsidRPr="00B8320D">
        <w:rPr>
          <w:b/>
          <w:i/>
          <w:sz w:val="24"/>
        </w:rPr>
        <w:t>C</w:t>
      </w:r>
      <w:r w:rsidRPr="00B8320D">
        <w:rPr>
          <w:b/>
          <w:i/>
          <w:sz w:val="24"/>
          <w:vertAlign w:val="subscript"/>
        </w:rPr>
        <w:t>d</w:t>
      </w:r>
      <w:r w:rsidRPr="00B8320D">
        <w:rPr>
          <w:sz w:val="24"/>
        </w:rPr>
        <w:t xml:space="preserve"> is the damage-variable based stiffness matrix,</w:t>
      </w:r>
    </w:p>
    <w:p w:rsidR="00DD1E31" w:rsidRPr="00B8320D" w:rsidRDefault="00DD1E31" w:rsidP="00DD1E31">
      <w:pPr>
        <w:wordWrap w:val="0"/>
        <w:spacing w:line="360" w:lineRule="auto"/>
        <w:ind w:firstLineChars="100" w:firstLine="210"/>
        <w:jc w:val="right"/>
        <w:textAlignment w:val="center"/>
      </w:pPr>
      <w:r w:rsidRPr="00B8320D">
        <w:object w:dxaOrig="6600" w:dyaOrig="1120">
          <v:shape id="_x0000_i1026" type="#_x0000_t75" style="width:330pt;height:54pt" o:ole="">
            <v:imagedata r:id="rId6" o:title=""/>
          </v:shape>
          <o:OLEObject Type="Embed" ProgID="Equation.DSMT4" ShapeID="_x0000_i1026" DrawAspect="Content" ObjectID="_1710579461" r:id="rId7"/>
        </w:object>
      </w:r>
      <w:r w:rsidRPr="00B8320D">
        <w:t xml:space="preserve">          </w:t>
      </w:r>
      <w:r w:rsidRPr="00B8320D">
        <w:rPr>
          <w:sz w:val="24"/>
        </w:rPr>
        <w:t>(A2)</w:t>
      </w:r>
    </w:p>
    <w:p w:rsidR="00DD1E31" w:rsidRPr="00B8320D" w:rsidRDefault="00DD1E31" w:rsidP="00DD1E31">
      <w:pPr>
        <w:spacing w:line="360" w:lineRule="auto"/>
        <w:rPr>
          <w:sz w:val="24"/>
        </w:rPr>
      </w:pPr>
      <w:r w:rsidRPr="00B8320D">
        <w:rPr>
          <w:sz w:val="24"/>
        </w:rPr>
        <w:t xml:space="preserve">where </w:t>
      </w:r>
      <w:r w:rsidRPr="00B8320D">
        <w:rPr>
          <w:i/>
          <w:sz w:val="24"/>
        </w:rPr>
        <w:t>d</w:t>
      </w:r>
      <w:r w:rsidRPr="00B8320D">
        <w:rPr>
          <w:i/>
          <w:iCs/>
          <w:sz w:val="24"/>
          <w:vertAlign w:val="subscript"/>
        </w:rPr>
        <w:t>f</w:t>
      </w:r>
      <w:r w:rsidRPr="00B8320D">
        <w:rPr>
          <w:sz w:val="24"/>
        </w:rPr>
        <w:t xml:space="preserve">, </w:t>
      </w:r>
      <w:r w:rsidRPr="00B8320D">
        <w:rPr>
          <w:i/>
          <w:sz w:val="24"/>
        </w:rPr>
        <w:t>d</w:t>
      </w:r>
      <w:r w:rsidRPr="00B8320D">
        <w:rPr>
          <w:i/>
          <w:iCs/>
          <w:sz w:val="24"/>
          <w:vertAlign w:val="subscript"/>
        </w:rPr>
        <w:t>m</w:t>
      </w:r>
      <w:r w:rsidRPr="00B8320D">
        <w:rPr>
          <w:sz w:val="24"/>
        </w:rPr>
        <w:t xml:space="preserve"> and </w:t>
      </w:r>
      <w:r w:rsidRPr="00B8320D">
        <w:rPr>
          <w:i/>
          <w:sz w:val="24"/>
        </w:rPr>
        <w:t>d</w:t>
      </w:r>
      <w:r w:rsidRPr="00B8320D">
        <w:rPr>
          <w:i/>
          <w:iCs/>
          <w:sz w:val="24"/>
          <w:vertAlign w:val="subscript"/>
        </w:rPr>
        <w:t>s</w:t>
      </w:r>
      <w:r w:rsidRPr="00B8320D">
        <w:rPr>
          <w:sz w:val="24"/>
        </w:rPr>
        <w:t xml:space="preserve"> = 1−(1–</w:t>
      </w:r>
      <w:r w:rsidRPr="00B8320D">
        <w:rPr>
          <w:i/>
          <w:sz w:val="24"/>
        </w:rPr>
        <w:t>d</w:t>
      </w:r>
      <w:r w:rsidRPr="00B8320D">
        <w:rPr>
          <w:i/>
          <w:iCs/>
          <w:sz w:val="24"/>
          <w:vertAlign w:val="subscript"/>
        </w:rPr>
        <w:t>f</w:t>
      </w:r>
      <w:r w:rsidRPr="00B8320D">
        <w:rPr>
          <w:sz w:val="24"/>
        </w:rPr>
        <w:t>)(1–</w:t>
      </w:r>
      <w:r w:rsidRPr="00B8320D">
        <w:rPr>
          <w:i/>
          <w:sz w:val="24"/>
        </w:rPr>
        <w:t>d</w:t>
      </w:r>
      <w:r w:rsidRPr="00B8320D">
        <w:rPr>
          <w:i/>
          <w:iCs/>
          <w:sz w:val="24"/>
          <w:vertAlign w:val="subscript"/>
        </w:rPr>
        <w:t>m</w:t>
      </w:r>
      <w:r w:rsidRPr="00B8320D">
        <w:rPr>
          <w:sz w:val="24"/>
        </w:rPr>
        <w:t>)</w:t>
      </w:r>
      <w:r w:rsidRPr="00B8320D">
        <w:rPr>
          <w:i/>
          <w:sz w:val="24"/>
        </w:rPr>
        <w:t>v</w:t>
      </w:r>
      <w:r w:rsidRPr="00B8320D">
        <w:rPr>
          <w:sz w:val="24"/>
          <w:vertAlign w:val="subscript"/>
        </w:rPr>
        <w:t>12</w:t>
      </w:r>
      <w:r w:rsidRPr="00B8320D">
        <w:rPr>
          <w:i/>
          <w:sz w:val="24"/>
        </w:rPr>
        <w:t>v</w:t>
      </w:r>
      <w:r w:rsidRPr="00B8320D">
        <w:rPr>
          <w:sz w:val="24"/>
          <w:vertAlign w:val="subscript"/>
        </w:rPr>
        <w:t>21</w:t>
      </w:r>
      <w:r w:rsidRPr="00B8320D">
        <w:rPr>
          <w:sz w:val="24"/>
        </w:rPr>
        <w:t xml:space="preserve"> are the continuous fibre, matrix and shear damage variables, respectively, varying from 0 (undamaged) to 1 (completely damaged) to reflect the material modulus degradation. </w:t>
      </w:r>
      <w:r w:rsidRPr="00B8320D">
        <w:rPr>
          <w:rFonts w:hint="eastAsia"/>
          <w:i/>
          <w:sz w:val="24"/>
        </w:rPr>
        <w:t>E</w:t>
      </w:r>
      <w:r w:rsidRPr="00B8320D">
        <w:rPr>
          <w:rFonts w:hint="eastAsia"/>
          <w:sz w:val="24"/>
          <w:vertAlign w:val="subscript"/>
        </w:rPr>
        <w:t>1</w:t>
      </w:r>
      <w:r w:rsidRPr="00B8320D">
        <w:rPr>
          <w:sz w:val="24"/>
          <w:vertAlign w:val="subscript"/>
        </w:rPr>
        <w:t>1</w:t>
      </w:r>
      <w:r w:rsidRPr="00B8320D">
        <w:rPr>
          <w:sz w:val="24"/>
        </w:rPr>
        <w:t xml:space="preserve">, </w:t>
      </w:r>
      <w:r w:rsidRPr="00B8320D">
        <w:rPr>
          <w:rFonts w:hint="eastAsia"/>
          <w:i/>
          <w:sz w:val="24"/>
        </w:rPr>
        <w:t>E</w:t>
      </w:r>
      <w:r w:rsidRPr="00B8320D">
        <w:rPr>
          <w:rFonts w:hint="eastAsia"/>
          <w:sz w:val="24"/>
          <w:vertAlign w:val="subscript"/>
        </w:rPr>
        <w:t>2</w:t>
      </w:r>
      <w:r w:rsidRPr="00B8320D">
        <w:rPr>
          <w:sz w:val="24"/>
          <w:vertAlign w:val="subscript"/>
        </w:rPr>
        <w:t>2</w:t>
      </w:r>
      <w:r w:rsidRPr="00B8320D">
        <w:rPr>
          <w:rFonts w:hint="eastAsia"/>
          <w:sz w:val="24"/>
        </w:rPr>
        <w:t xml:space="preserve"> </w:t>
      </w:r>
      <w:r w:rsidRPr="00B8320D">
        <w:rPr>
          <w:sz w:val="24"/>
        </w:rPr>
        <w:t xml:space="preserve">and </w:t>
      </w:r>
      <w:r w:rsidRPr="00B8320D">
        <w:rPr>
          <w:rFonts w:hint="eastAsia"/>
          <w:i/>
          <w:sz w:val="24"/>
        </w:rPr>
        <w:t>G</w:t>
      </w:r>
      <w:r w:rsidRPr="00B8320D">
        <w:rPr>
          <w:rFonts w:hint="eastAsia"/>
          <w:sz w:val="24"/>
          <w:vertAlign w:val="subscript"/>
        </w:rPr>
        <w:t>12</w:t>
      </w:r>
      <w:r w:rsidRPr="00B8320D">
        <w:rPr>
          <w:sz w:val="24"/>
        </w:rPr>
        <w:t xml:space="preserve"> are the Young’s moduli while</w:t>
      </w:r>
      <w:r w:rsidRPr="00B8320D">
        <w:rPr>
          <w:rFonts w:hint="eastAsia"/>
          <w:sz w:val="24"/>
        </w:rPr>
        <w:t xml:space="preserve"> </w:t>
      </w:r>
      <w:r w:rsidRPr="00B8320D">
        <w:rPr>
          <w:rFonts w:hint="eastAsia"/>
          <w:i/>
          <w:sz w:val="24"/>
        </w:rPr>
        <w:t>v</w:t>
      </w:r>
      <w:r w:rsidRPr="00B8320D">
        <w:rPr>
          <w:rFonts w:hint="eastAsia"/>
          <w:sz w:val="24"/>
          <w:vertAlign w:val="subscript"/>
        </w:rPr>
        <w:t xml:space="preserve">12 </w:t>
      </w:r>
      <w:r w:rsidRPr="00B8320D">
        <w:rPr>
          <w:rFonts w:hint="eastAsia"/>
          <w:sz w:val="24"/>
        </w:rPr>
        <w:t xml:space="preserve">and </w:t>
      </w:r>
      <w:r w:rsidRPr="00B8320D">
        <w:rPr>
          <w:rFonts w:hint="eastAsia"/>
          <w:i/>
          <w:sz w:val="24"/>
        </w:rPr>
        <w:t>v</w:t>
      </w:r>
      <w:r w:rsidRPr="00B8320D">
        <w:rPr>
          <w:rFonts w:hint="eastAsia"/>
          <w:sz w:val="24"/>
          <w:vertAlign w:val="subscript"/>
        </w:rPr>
        <w:t>21</w:t>
      </w:r>
      <w:r w:rsidRPr="00B8320D">
        <w:rPr>
          <w:sz w:val="24"/>
        </w:rPr>
        <w:t xml:space="preserve"> are the </w:t>
      </w:r>
      <w:r w:rsidRPr="00B8320D">
        <w:rPr>
          <w:rFonts w:hint="eastAsia"/>
          <w:sz w:val="24"/>
        </w:rPr>
        <w:t>Poisson ratios.</w:t>
      </w:r>
      <w:r w:rsidRPr="00B8320D">
        <w:rPr>
          <w:sz w:val="24"/>
        </w:rPr>
        <w:t xml:space="preserve"> Thus, the damage variables determine the reduction of elastic properties and influence the stress propagation and residual strength in the plies. For the failure calculation, based on Hashin’s method [21, 22], the initiation failure criteria in the progressive failure modelling are presented below.</w:t>
      </w:r>
    </w:p>
    <w:p w:rsidR="00DD1E31" w:rsidRPr="00B8320D" w:rsidRDefault="00DD1E31" w:rsidP="00DD1E31">
      <w:pPr>
        <w:spacing w:beforeLines="50" w:before="120" w:afterLines="50" w:after="120" w:line="0" w:lineRule="atLeast"/>
        <w:jc w:val="center"/>
        <w:rPr>
          <w:kern w:val="0"/>
          <w:szCs w:val="21"/>
        </w:rPr>
      </w:pPr>
      <w:r w:rsidRPr="00B8320D">
        <w:rPr>
          <w:rFonts w:hint="eastAsia"/>
          <w:b/>
          <w:szCs w:val="21"/>
        </w:rPr>
        <w:t xml:space="preserve">Table </w:t>
      </w:r>
      <w:r w:rsidRPr="00B8320D">
        <w:rPr>
          <w:b/>
          <w:szCs w:val="21"/>
        </w:rPr>
        <w:t>A1</w:t>
      </w:r>
      <w:r w:rsidRPr="00B8320D">
        <w:rPr>
          <w:rFonts w:hint="eastAsia"/>
          <w:b/>
          <w:sz w:val="24"/>
        </w:rPr>
        <w:t xml:space="preserve"> </w:t>
      </w:r>
      <w:r w:rsidRPr="00B8320D">
        <w:rPr>
          <w:kern w:val="0"/>
          <w:szCs w:val="21"/>
        </w:rPr>
        <w:t>Hashin damage initiation criteria for 3D-printed CCF/PA composites in the modelling</w:t>
      </w:r>
      <w:r w:rsidRPr="00B8320D">
        <w:rPr>
          <w:rFonts w:hint="eastAsia"/>
          <w:kern w:val="0"/>
          <w:szCs w:val="21"/>
        </w:rPr>
        <w:t>.</w:t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2719"/>
        <w:gridCol w:w="2233"/>
        <w:gridCol w:w="4408"/>
      </w:tblGrid>
      <w:tr w:rsidR="00DD1E31" w:rsidRPr="00B8320D" w:rsidTr="00BC2709">
        <w:trPr>
          <w:trHeight w:val="270"/>
          <w:jc w:val="center"/>
        </w:trPr>
        <w:tc>
          <w:tcPr>
            <w:tcW w:w="2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E31" w:rsidRPr="00B8320D" w:rsidRDefault="00DD1E31" w:rsidP="00BC2709">
            <w:pPr>
              <w:widowControl/>
              <w:jc w:val="left"/>
              <w:rPr>
                <w:sz w:val="22"/>
              </w:rPr>
            </w:pPr>
            <w:r w:rsidRPr="00B8320D">
              <w:rPr>
                <w:rFonts w:hint="eastAsia"/>
              </w:rPr>
              <w:t>Description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1E31" w:rsidRPr="00B8320D" w:rsidRDefault="00DD1E31" w:rsidP="00BC2709">
            <w:r w:rsidRPr="00B8320D">
              <w:t>Stress condition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D1E31" w:rsidRPr="00B8320D" w:rsidRDefault="00DD1E31" w:rsidP="00BC2709">
            <w:r w:rsidRPr="00B8320D">
              <w:t>Damage initiation</w:t>
            </w:r>
          </w:p>
        </w:tc>
      </w:tr>
      <w:tr w:rsidR="00DD1E31" w:rsidRPr="00B8320D" w:rsidTr="00BC2709">
        <w:trPr>
          <w:trHeight w:val="270"/>
          <w:jc w:val="center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widowControl/>
              <w:jc w:val="left"/>
            </w:pPr>
            <w:r w:rsidRPr="00B8320D">
              <w:t>Fibre tensile mode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jc w:val="left"/>
            </w:pPr>
            <w:r w:rsidRPr="00B8320D">
              <w:rPr>
                <w:sz w:val="24"/>
              </w:rPr>
              <w:object w:dxaOrig="720" w:dyaOrig="360">
                <v:shape id="_x0000_i1027" type="#_x0000_t75" style="width:36pt;height:18pt" o:ole="">
                  <v:imagedata r:id="rId8" o:title=""/>
                </v:shape>
                <o:OLEObject Type="Embed" ProgID="Equation.DSMT4" ShapeID="_x0000_i1027" DrawAspect="Content" ObjectID="_1710579462" r:id="rId9"/>
              </w:objec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r w:rsidRPr="00B8320D">
              <w:rPr>
                <w:sz w:val="24"/>
              </w:rPr>
              <w:object w:dxaOrig="2320" w:dyaOrig="800">
                <v:shape id="_x0000_i1028" type="#_x0000_t75" style="width:114pt;height:42pt" o:ole="">
                  <v:imagedata r:id="rId10" o:title=""/>
                </v:shape>
                <o:OLEObject Type="Embed" ProgID="Equation.DSMT4" ShapeID="_x0000_i1028" DrawAspect="Content" ObjectID="_1710579463" r:id="rId11"/>
              </w:object>
            </w:r>
          </w:p>
        </w:tc>
      </w:tr>
      <w:tr w:rsidR="00DD1E31" w:rsidRPr="00B8320D" w:rsidTr="00BC2709">
        <w:trPr>
          <w:trHeight w:val="270"/>
          <w:jc w:val="center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widowControl/>
              <w:jc w:val="left"/>
            </w:pPr>
            <w:r w:rsidRPr="00B8320D">
              <w:t>Fibre compressive mode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jc w:val="left"/>
              <w:textAlignment w:val="center"/>
              <w:rPr>
                <w:position w:val="-30"/>
              </w:rPr>
            </w:pPr>
            <w:r w:rsidRPr="00B8320D">
              <w:rPr>
                <w:sz w:val="24"/>
              </w:rPr>
              <w:object w:dxaOrig="720" w:dyaOrig="360">
                <v:shape id="_x0000_i1029" type="#_x0000_t75" style="width:36pt;height:18pt" o:ole="">
                  <v:imagedata r:id="rId12" o:title=""/>
                </v:shape>
                <o:OLEObject Type="Embed" ProgID="Equation.DSMT4" ShapeID="_x0000_i1029" DrawAspect="Content" ObjectID="_1710579464" r:id="rId13"/>
              </w:objec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r w:rsidRPr="00B8320D">
              <w:rPr>
                <w:sz w:val="24"/>
              </w:rPr>
              <w:object w:dxaOrig="1280" w:dyaOrig="800">
                <v:shape id="_x0000_i1030" type="#_x0000_t75" style="width:66pt;height:42pt" o:ole="">
                  <v:imagedata r:id="rId14" o:title=""/>
                </v:shape>
                <o:OLEObject Type="Embed" ProgID="Equation.DSMT4" ShapeID="_x0000_i1030" DrawAspect="Content" ObjectID="_1710579465" r:id="rId15"/>
              </w:object>
            </w:r>
          </w:p>
        </w:tc>
      </w:tr>
      <w:tr w:rsidR="00DD1E31" w:rsidRPr="00B8320D" w:rsidTr="00BC2709">
        <w:trPr>
          <w:trHeight w:val="270"/>
          <w:jc w:val="center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widowControl/>
              <w:jc w:val="left"/>
            </w:pPr>
            <w:r w:rsidRPr="00B8320D">
              <w:t>Matrix tensile mode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jc w:val="left"/>
            </w:pPr>
            <w:r w:rsidRPr="00B8320D">
              <w:rPr>
                <w:sz w:val="24"/>
              </w:rPr>
              <w:object w:dxaOrig="740" w:dyaOrig="360">
                <v:shape id="_x0000_i1031" type="#_x0000_t75" style="width:36pt;height:18pt" o:ole="">
                  <v:imagedata r:id="rId16" o:title=""/>
                </v:shape>
                <o:OLEObject Type="Embed" ProgID="Equation.DSMT4" ShapeID="_x0000_i1031" DrawAspect="Content" ObjectID="_1710579466" r:id="rId17"/>
              </w:objec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r w:rsidRPr="00B8320D">
              <w:rPr>
                <w:sz w:val="24"/>
              </w:rPr>
              <w:object w:dxaOrig="2180" w:dyaOrig="800">
                <v:shape id="_x0000_i1032" type="#_x0000_t75" style="width:108pt;height:42pt" o:ole="">
                  <v:imagedata r:id="rId18" o:title=""/>
                </v:shape>
                <o:OLEObject Type="Embed" ProgID="Equation.DSMT4" ShapeID="_x0000_i1032" DrawAspect="Content" ObjectID="_1710579467" r:id="rId19"/>
              </w:object>
            </w:r>
          </w:p>
        </w:tc>
      </w:tr>
      <w:tr w:rsidR="00DD1E31" w:rsidRPr="00B8320D" w:rsidTr="00BC2709">
        <w:trPr>
          <w:trHeight w:val="270"/>
          <w:jc w:val="center"/>
        </w:trPr>
        <w:tc>
          <w:tcPr>
            <w:tcW w:w="2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widowControl/>
              <w:jc w:val="left"/>
            </w:pPr>
            <w:r w:rsidRPr="00B8320D">
              <w:t>Matrix compressive mode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pPr>
              <w:jc w:val="left"/>
            </w:pPr>
            <w:r w:rsidRPr="00B8320D">
              <w:rPr>
                <w:sz w:val="24"/>
              </w:rPr>
              <w:object w:dxaOrig="740" w:dyaOrig="360">
                <v:shape id="_x0000_i1033" type="#_x0000_t75" style="width:36pt;height:18pt" o:ole="">
                  <v:imagedata r:id="rId20" o:title=""/>
                </v:shape>
                <o:OLEObject Type="Embed" ProgID="Equation.DSMT4" ShapeID="_x0000_i1033" DrawAspect="Content" ObjectID="_1710579468" r:id="rId21"/>
              </w:objec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1E31" w:rsidRPr="00B8320D" w:rsidRDefault="00DD1E31" w:rsidP="00BC2709">
            <w:r w:rsidRPr="00B8320D">
              <w:rPr>
                <w:sz w:val="24"/>
              </w:rPr>
              <w:object w:dxaOrig="4180" w:dyaOrig="880">
                <v:shape id="_x0000_i1034" type="#_x0000_t75" style="width:210pt;height:42pt" o:ole="">
                  <v:imagedata r:id="rId22" o:title=""/>
                </v:shape>
                <o:OLEObject Type="Embed" ProgID="Equation.DSMT4" ShapeID="_x0000_i1034" DrawAspect="Content" ObjectID="_1710579469" r:id="rId23"/>
              </w:object>
            </w:r>
          </w:p>
        </w:tc>
      </w:tr>
    </w:tbl>
    <w:p w:rsidR="00DD1E31" w:rsidRPr="00B8320D" w:rsidRDefault="00DD1E31" w:rsidP="00DD1E31">
      <w:pPr>
        <w:rPr>
          <w:szCs w:val="21"/>
        </w:rPr>
      </w:pPr>
      <w:r w:rsidRPr="00B8320D">
        <w:rPr>
          <w:szCs w:val="21"/>
        </w:rPr>
        <w:lastRenderedPageBreak/>
        <w:t>*</w:t>
      </w:r>
      <w:r w:rsidRPr="00B8320D">
        <w:rPr>
          <w:i/>
          <w:szCs w:val="21"/>
        </w:rPr>
        <w:t>X</w:t>
      </w:r>
      <w:r w:rsidRPr="00B8320D">
        <w:rPr>
          <w:i/>
          <w:szCs w:val="21"/>
          <w:vertAlign w:val="subscript"/>
        </w:rPr>
        <w:t>T</w:t>
      </w:r>
      <w:r w:rsidRPr="00B8320D">
        <w:rPr>
          <w:szCs w:val="21"/>
        </w:rPr>
        <w:t xml:space="preserve"> and </w:t>
      </w:r>
      <w:r w:rsidRPr="00B8320D">
        <w:rPr>
          <w:i/>
          <w:szCs w:val="21"/>
        </w:rPr>
        <w:t>X</w:t>
      </w:r>
      <w:r w:rsidRPr="00B8320D">
        <w:rPr>
          <w:i/>
          <w:szCs w:val="21"/>
          <w:vertAlign w:val="subscript"/>
        </w:rPr>
        <w:t>C</w:t>
      </w:r>
      <w:r w:rsidRPr="00B8320D">
        <w:rPr>
          <w:iCs/>
          <w:szCs w:val="21"/>
        </w:rPr>
        <w:t xml:space="preserve"> </w:t>
      </w:r>
      <w:r w:rsidRPr="00B8320D">
        <w:rPr>
          <w:szCs w:val="21"/>
        </w:rPr>
        <w:t>are the strengths along the fibre direction under uniaxial tensile and compressive loading, respectively</w:t>
      </w:r>
      <w:r>
        <w:rPr>
          <w:szCs w:val="21"/>
        </w:rPr>
        <w:t>,</w:t>
      </w:r>
      <w:r w:rsidRPr="00B8320D">
        <w:rPr>
          <w:szCs w:val="21"/>
        </w:rPr>
        <w:t xml:space="preserve"> </w:t>
      </w:r>
      <w:r w:rsidRPr="00B8320D">
        <w:rPr>
          <w:i/>
          <w:szCs w:val="21"/>
        </w:rPr>
        <w:t>Y</w:t>
      </w:r>
      <w:r w:rsidRPr="00B8320D">
        <w:rPr>
          <w:i/>
          <w:szCs w:val="21"/>
          <w:vertAlign w:val="subscript"/>
        </w:rPr>
        <w:t>T</w:t>
      </w:r>
      <w:r w:rsidRPr="00B8320D">
        <w:rPr>
          <w:szCs w:val="21"/>
        </w:rPr>
        <w:t xml:space="preserve"> and </w:t>
      </w:r>
      <w:r w:rsidRPr="00B8320D">
        <w:rPr>
          <w:i/>
          <w:szCs w:val="21"/>
        </w:rPr>
        <w:t>Y</w:t>
      </w:r>
      <w:r w:rsidRPr="00B8320D">
        <w:rPr>
          <w:i/>
          <w:szCs w:val="21"/>
          <w:vertAlign w:val="subscript"/>
        </w:rPr>
        <w:t>C</w:t>
      </w:r>
      <w:r w:rsidRPr="00B8320D">
        <w:rPr>
          <w:iCs/>
          <w:szCs w:val="21"/>
        </w:rPr>
        <w:t xml:space="preserve"> </w:t>
      </w:r>
      <w:r w:rsidRPr="00B8320D">
        <w:rPr>
          <w:szCs w:val="21"/>
        </w:rPr>
        <w:t>are the strengths of the matrix normal to the fibre direction under uniaxial tensile and compressive loading, respectively</w:t>
      </w:r>
      <w:r>
        <w:rPr>
          <w:szCs w:val="21"/>
        </w:rPr>
        <w:t>,</w:t>
      </w:r>
      <w:r w:rsidRPr="00B8320D">
        <w:rPr>
          <w:szCs w:val="21"/>
        </w:rPr>
        <w:t xml:space="preserve"> </w:t>
      </w:r>
      <w:r w:rsidRPr="00B8320D">
        <w:rPr>
          <w:i/>
          <w:szCs w:val="21"/>
        </w:rPr>
        <w:t>S</w:t>
      </w:r>
      <w:r w:rsidRPr="00B8320D">
        <w:rPr>
          <w:i/>
          <w:szCs w:val="21"/>
          <w:vertAlign w:val="subscript"/>
        </w:rPr>
        <w:t>12</w:t>
      </w:r>
      <w:r w:rsidRPr="00B8320D">
        <w:rPr>
          <w:i/>
          <w:iCs/>
          <w:szCs w:val="21"/>
          <w:vertAlign w:val="superscript"/>
        </w:rPr>
        <w:t>L</w:t>
      </w:r>
      <w:r w:rsidRPr="00B8320D">
        <w:rPr>
          <w:iCs/>
          <w:szCs w:val="21"/>
        </w:rPr>
        <w:t xml:space="preserve"> </w:t>
      </w:r>
      <w:r w:rsidRPr="00B8320D">
        <w:rPr>
          <w:rFonts w:hint="eastAsia"/>
          <w:szCs w:val="21"/>
        </w:rPr>
        <w:t xml:space="preserve">and </w:t>
      </w:r>
      <w:r w:rsidRPr="00B8320D">
        <w:rPr>
          <w:i/>
          <w:szCs w:val="21"/>
        </w:rPr>
        <w:t>S</w:t>
      </w:r>
      <w:r w:rsidRPr="00B8320D">
        <w:rPr>
          <w:i/>
          <w:szCs w:val="21"/>
          <w:vertAlign w:val="subscript"/>
        </w:rPr>
        <w:t>12</w:t>
      </w:r>
      <w:r w:rsidRPr="00B8320D">
        <w:rPr>
          <w:i/>
          <w:iCs/>
          <w:szCs w:val="21"/>
          <w:vertAlign w:val="superscript"/>
        </w:rPr>
        <w:t>T</w:t>
      </w:r>
      <w:r w:rsidRPr="00B8320D">
        <w:rPr>
          <w:rFonts w:hint="eastAsia"/>
          <w:szCs w:val="21"/>
        </w:rPr>
        <w:t xml:space="preserve"> denote shear strength</w:t>
      </w:r>
      <w:r w:rsidRPr="00B8320D">
        <w:rPr>
          <w:szCs w:val="21"/>
        </w:rPr>
        <w:t>s</w:t>
      </w:r>
      <w:r w:rsidRPr="00B8320D">
        <w:rPr>
          <w:rFonts w:hint="eastAsia"/>
          <w:szCs w:val="21"/>
        </w:rPr>
        <w:t xml:space="preserve"> in </w:t>
      </w:r>
      <w:r w:rsidRPr="00B8320D">
        <w:rPr>
          <w:szCs w:val="21"/>
        </w:rPr>
        <w:t xml:space="preserve">the </w:t>
      </w:r>
      <w:r w:rsidRPr="00B8320D">
        <w:rPr>
          <w:rFonts w:hint="eastAsia"/>
          <w:szCs w:val="21"/>
        </w:rPr>
        <w:t xml:space="preserve">longitudinal and </w:t>
      </w:r>
      <w:r w:rsidRPr="00B8320D">
        <w:rPr>
          <w:szCs w:val="21"/>
        </w:rPr>
        <w:t>transverse</w:t>
      </w:r>
      <w:r w:rsidRPr="00B8320D">
        <w:rPr>
          <w:rFonts w:hint="eastAsia"/>
          <w:szCs w:val="21"/>
        </w:rPr>
        <w:t xml:space="preserve"> direction</w:t>
      </w:r>
      <w:r w:rsidRPr="00B8320D">
        <w:rPr>
          <w:szCs w:val="21"/>
        </w:rPr>
        <w:t xml:space="preserve">s, respectively with </w:t>
      </w:r>
      <w:r w:rsidRPr="00B8320D">
        <w:rPr>
          <w:i/>
          <w:szCs w:val="21"/>
        </w:rPr>
        <w:t>S</w:t>
      </w:r>
      <w:r w:rsidRPr="00B8320D">
        <w:rPr>
          <w:i/>
          <w:szCs w:val="21"/>
          <w:vertAlign w:val="subscript"/>
        </w:rPr>
        <w:t>12</w:t>
      </w:r>
      <w:r w:rsidRPr="00B8320D">
        <w:rPr>
          <w:i/>
          <w:iCs/>
          <w:szCs w:val="21"/>
          <w:vertAlign w:val="superscript"/>
        </w:rPr>
        <w:t>L</w:t>
      </w:r>
      <w:r w:rsidRPr="00B8320D">
        <w:rPr>
          <w:szCs w:val="21"/>
        </w:rPr>
        <w:t xml:space="preserve"> =</w:t>
      </w:r>
      <w:r w:rsidRPr="00B8320D">
        <w:rPr>
          <w:i/>
          <w:szCs w:val="21"/>
        </w:rPr>
        <w:t xml:space="preserve"> S</w:t>
      </w:r>
      <w:r w:rsidRPr="00B8320D">
        <w:rPr>
          <w:i/>
          <w:szCs w:val="21"/>
          <w:vertAlign w:val="subscript"/>
        </w:rPr>
        <w:t>12</w:t>
      </w:r>
      <w:r w:rsidRPr="00B8320D">
        <w:rPr>
          <w:i/>
          <w:iCs/>
          <w:szCs w:val="21"/>
          <w:vertAlign w:val="superscript"/>
        </w:rPr>
        <w:t>L</w:t>
      </w:r>
      <w:r w:rsidRPr="00B8320D">
        <w:rPr>
          <w:szCs w:val="21"/>
        </w:rPr>
        <w:t xml:space="preserve"> =</w:t>
      </w:r>
      <w:r w:rsidRPr="00B8320D">
        <w:rPr>
          <w:i/>
          <w:szCs w:val="21"/>
        </w:rPr>
        <w:t xml:space="preserve"> S</w:t>
      </w:r>
      <w:r w:rsidRPr="00B8320D">
        <w:rPr>
          <w:i/>
          <w:szCs w:val="21"/>
          <w:vertAlign w:val="subscript"/>
        </w:rPr>
        <w:t>12</w:t>
      </w:r>
      <w:r>
        <w:rPr>
          <w:szCs w:val="21"/>
        </w:rPr>
        <w:t>,</w:t>
      </w:r>
      <w:r w:rsidRPr="00B8320D">
        <w:rPr>
          <w:szCs w:val="21"/>
        </w:rPr>
        <w:t xml:space="preserve"> </w:t>
      </w:r>
      <w:r w:rsidRPr="00B8320D">
        <w:rPr>
          <w:i/>
          <w:iCs/>
          <w:szCs w:val="21"/>
        </w:rPr>
        <w:t>α</w:t>
      </w:r>
      <w:r w:rsidRPr="00B8320D">
        <w:rPr>
          <w:szCs w:val="21"/>
        </w:rPr>
        <w:t xml:space="preserve"> is the coefficient determining the contribution of shear stress to the fibre tensile mode and it is defined as 1 to fully include shear stress</w:t>
      </w:r>
      <w:r>
        <w:rPr>
          <w:szCs w:val="21"/>
        </w:rPr>
        <w:t>,</w:t>
      </w:r>
      <w:r w:rsidRPr="00B8320D">
        <w:rPr>
          <w:szCs w:val="21"/>
        </w:rPr>
        <w:t xml:space="preserve"> </w:t>
      </w:r>
      <w:r w:rsidRPr="00B8320D">
        <w:rPr>
          <w:i/>
          <w:szCs w:val="21"/>
        </w:rPr>
        <w:t>F</w:t>
      </w:r>
      <w:r w:rsidRPr="00B8320D">
        <w:rPr>
          <w:rFonts w:hint="eastAsia"/>
          <w:i/>
          <w:szCs w:val="21"/>
          <w:vertAlign w:val="subscript"/>
        </w:rPr>
        <w:t>f</w:t>
      </w:r>
      <w:r w:rsidRPr="00B8320D">
        <w:rPr>
          <w:i/>
          <w:szCs w:val="21"/>
          <w:vertAlign w:val="subscript"/>
        </w:rPr>
        <w:t>t</w:t>
      </w:r>
      <w:r w:rsidRPr="00B8320D">
        <w:rPr>
          <w:rFonts w:hint="eastAsia"/>
          <w:i/>
          <w:szCs w:val="21"/>
          <w:vertAlign w:val="subscript"/>
        </w:rPr>
        <w:t xml:space="preserve"> </w:t>
      </w:r>
      <w:r w:rsidRPr="00B8320D">
        <w:rPr>
          <w:rFonts w:hint="eastAsia"/>
          <w:szCs w:val="21"/>
        </w:rPr>
        <w:t xml:space="preserve">, </w:t>
      </w:r>
      <w:r w:rsidRPr="00B8320D">
        <w:rPr>
          <w:i/>
          <w:szCs w:val="21"/>
        </w:rPr>
        <w:t>F</w:t>
      </w:r>
      <w:r w:rsidRPr="00B8320D">
        <w:rPr>
          <w:i/>
          <w:szCs w:val="21"/>
          <w:vertAlign w:val="subscript"/>
        </w:rPr>
        <w:t>fc</w:t>
      </w:r>
      <w:r w:rsidRPr="00B8320D">
        <w:rPr>
          <w:rFonts w:hint="eastAsia"/>
          <w:i/>
          <w:szCs w:val="21"/>
          <w:vertAlign w:val="subscript"/>
        </w:rPr>
        <w:t xml:space="preserve"> </w:t>
      </w:r>
      <w:r w:rsidRPr="00B8320D">
        <w:rPr>
          <w:rFonts w:hint="eastAsia"/>
          <w:szCs w:val="21"/>
        </w:rPr>
        <w:t xml:space="preserve">, </w:t>
      </w:r>
      <w:r w:rsidRPr="00B8320D">
        <w:rPr>
          <w:i/>
          <w:szCs w:val="21"/>
        </w:rPr>
        <w:t>F</w:t>
      </w:r>
      <w:r w:rsidRPr="00B8320D">
        <w:rPr>
          <w:rFonts w:hint="eastAsia"/>
          <w:i/>
          <w:szCs w:val="21"/>
          <w:vertAlign w:val="subscript"/>
        </w:rPr>
        <w:t>m</w:t>
      </w:r>
      <w:r w:rsidRPr="00B8320D">
        <w:rPr>
          <w:i/>
          <w:szCs w:val="21"/>
          <w:vertAlign w:val="subscript"/>
        </w:rPr>
        <w:t>t</w:t>
      </w:r>
      <w:r w:rsidRPr="00B8320D">
        <w:rPr>
          <w:rFonts w:hint="eastAsia"/>
          <w:szCs w:val="21"/>
        </w:rPr>
        <w:t xml:space="preserve"> </w:t>
      </w:r>
      <w:r w:rsidRPr="00B8320D">
        <w:rPr>
          <w:szCs w:val="21"/>
        </w:rPr>
        <w:t>or</w:t>
      </w:r>
      <w:r w:rsidRPr="00B8320D">
        <w:rPr>
          <w:rFonts w:hint="eastAsia"/>
          <w:szCs w:val="21"/>
        </w:rPr>
        <w:t xml:space="preserve"> </w:t>
      </w:r>
      <w:r w:rsidRPr="00B8320D">
        <w:rPr>
          <w:i/>
          <w:szCs w:val="21"/>
        </w:rPr>
        <w:t>F</w:t>
      </w:r>
      <w:r w:rsidRPr="00B8320D">
        <w:rPr>
          <w:i/>
          <w:szCs w:val="21"/>
          <w:vertAlign w:val="subscript"/>
        </w:rPr>
        <w:t>mc</w:t>
      </w:r>
      <w:r w:rsidRPr="00B8320D">
        <w:rPr>
          <w:rFonts w:hint="eastAsia"/>
          <w:i/>
          <w:szCs w:val="21"/>
          <w:vertAlign w:val="subscript"/>
        </w:rPr>
        <w:t xml:space="preserve"> </w:t>
      </w:r>
      <w:r w:rsidRPr="00B8320D">
        <w:rPr>
          <w:szCs w:val="21"/>
        </w:rPr>
        <w:t>are</w:t>
      </w:r>
      <w:r w:rsidRPr="00B8320D">
        <w:rPr>
          <w:rFonts w:hint="eastAsia"/>
          <w:szCs w:val="21"/>
        </w:rPr>
        <w:t xml:space="preserve"> the assessment value</w:t>
      </w:r>
      <w:r w:rsidRPr="00B8320D">
        <w:rPr>
          <w:szCs w:val="21"/>
        </w:rPr>
        <w:t xml:space="preserve">s, by which </w:t>
      </w:r>
      <w:r w:rsidRPr="00B8320D">
        <w:rPr>
          <w:rFonts w:hint="eastAsia"/>
          <w:szCs w:val="21"/>
        </w:rPr>
        <w:t xml:space="preserve">if it is equal to or higher than 1, the damage initiation criteria are met and </w:t>
      </w:r>
      <w:r w:rsidRPr="00B8320D">
        <w:rPr>
          <w:szCs w:val="21"/>
        </w:rPr>
        <w:t>afterwards</w:t>
      </w:r>
      <w:r w:rsidRPr="00B8320D">
        <w:rPr>
          <w:rFonts w:hint="eastAsia"/>
          <w:szCs w:val="21"/>
        </w:rPr>
        <w:t xml:space="preserve"> </w:t>
      </w:r>
      <w:r w:rsidRPr="00B8320D">
        <w:rPr>
          <w:szCs w:val="21"/>
        </w:rPr>
        <w:t>the</w:t>
      </w:r>
      <w:r w:rsidRPr="00B8320D">
        <w:rPr>
          <w:rFonts w:hint="eastAsia"/>
          <w:szCs w:val="21"/>
        </w:rPr>
        <w:t xml:space="preserve"> damage evaluation process will </w:t>
      </w:r>
      <w:r w:rsidRPr="00B8320D">
        <w:rPr>
          <w:szCs w:val="21"/>
        </w:rPr>
        <w:t>begin</w:t>
      </w:r>
      <w:r w:rsidRPr="00B8320D">
        <w:rPr>
          <w:rFonts w:hint="eastAsia"/>
          <w:szCs w:val="21"/>
        </w:rPr>
        <w:t>.</w:t>
      </w:r>
    </w:p>
    <w:p w:rsidR="00DD1E31" w:rsidRPr="00B8320D" w:rsidRDefault="00DD1E31" w:rsidP="00DD1E31">
      <w:pPr>
        <w:spacing w:line="360" w:lineRule="auto"/>
        <w:ind w:firstLineChars="100" w:firstLine="240"/>
        <w:textAlignment w:val="center"/>
        <w:rPr>
          <w:sz w:val="24"/>
        </w:rPr>
      </w:pPr>
      <w:r w:rsidRPr="00B8320D">
        <w:rPr>
          <w:sz w:val="24"/>
        </w:rPr>
        <w:t xml:space="preserve">Once any </w:t>
      </w:r>
      <w:r w:rsidRPr="00B8320D">
        <w:rPr>
          <w:rFonts w:hint="eastAsia"/>
          <w:sz w:val="24"/>
        </w:rPr>
        <w:t>the four failure</w:t>
      </w:r>
      <w:r w:rsidRPr="00B8320D">
        <w:rPr>
          <w:sz w:val="24"/>
        </w:rPr>
        <w:t xml:space="preserve"> initiation modes in Table A1 have been reached, t</w:t>
      </w:r>
      <w:r w:rsidRPr="00B8320D">
        <w:rPr>
          <w:rFonts w:hint="eastAsia"/>
          <w:sz w:val="24"/>
        </w:rPr>
        <w:t xml:space="preserve">he </w:t>
      </w:r>
      <w:r w:rsidRPr="00B8320D">
        <w:rPr>
          <w:sz w:val="24"/>
        </w:rPr>
        <w:t xml:space="preserve">corresponding </w:t>
      </w:r>
      <w:r w:rsidRPr="00B8320D">
        <w:rPr>
          <w:rFonts w:hint="eastAsia"/>
          <w:sz w:val="24"/>
        </w:rPr>
        <w:t xml:space="preserve">damage are evaluated by calculating equivalent stress and strain in a linear degradation </w:t>
      </w:r>
      <w:r w:rsidRPr="00B8320D">
        <w:rPr>
          <w:sz w:val="24"/>
        </w:rPr>
        <w:t>as follows:</w:t>
      </w:r>
    </w:p>
    <w:p w:rsidR="00DD1E31" w:rsidRPr="00B8320D" w:rsidRDefault="00DD1E31" w:rsidP="00DD1E31">
      <w:pPr>
        <w:spacing w:line="360" w:lineRule="auto"/>
        <w:ind w:firstLineChars="100" w:firstLine="240"/>
        <w:textAlignment w:val="center"/>
        <w:rPr>
          <w:sz w:val="24"/>
        </w:rPr>
      </w:pPr>
      <w:r w:rsidRPr="00B8320D">
        <w:rPr>
          <w:rFonts w:hint="eastAsia"/>
          <w:sz w:val="24"/>
        </w:rPr>
        <w:t>Fib</w:t>
      </w:r>
      <w:r w:rsidRPr="00B8320D">
        <w:rPr>
          <w:sz w:val="24"/>
        </w:rPr>
        <w:t>r</w:t>
      </w:r>
      <w:r w:rsidRPr="00B8320D">
        <w:rPr>
          <w:rFonts w:hint="eastAsia"/>
          <w:sz w:val="24"/>
        </w:rPr>
        <w:t>e tension (</w:t>
      </w:r>
      <w:r w:rsidRPr="00B8320D">
        <w:rPr>
          <w:sz w:val="24"/>
        </w:rPr>
        <w:object w:dxaOrig="720" w:dyaOrig="360">
          <v:shape id="_x0000_i1035" type="#_x0000_t75" style="width:36pt;height:18pt" o:ole="">
            <v:imagedata r:id="rId24" o:title=""/>
          </v:shape>
          <o:OLEObject Type="Embed" ProgID="Equation.DSMT4" ShapeID="_x0000_i1035" DrawAspect="Content" ObjectID="_1710579470" r:id="rId25"/>
        </w:object>
      </w:r>
      <w:r w:rsidRPr="00B8320D">
        <w:rPr>
          <w:rFonts w:hint="eastAsia"/>
          <w:sz w:val="24"/>
        </w:rPr>
        <w:t>,</w:t>
      </w:r>
      <w:r w:rsidRPr="00B8320D">
        <w:rPr>
          <w:sz w:val="24"/>
        </w:rPr>
        <w:object w:dxaOrig="680" w:dyaOrig="360">
          <v:shape id="_x0000_i1036" type="#_x0000_t75" style="width:36pt;height:18pt" o:ole="">
            <v:imagedata r:id="rId26" o:title=""/>
          </v:shape>
          <o:OLEObject Type="Embed" ProgID="Equation.DSMT4" ShapeID="_x0000_i1036" DrawAspect="Content" ObjectID="_1710579471" r:id="rId27"/>
        </w:object>
      </w:r>
      <w:r w:rsidRPr="00B8320D">
        <w:rPr>
          <w:rFonts w:hint="eastAsia"/>
          <w:sz w:val="24"/>
        </w:rPr>
        <w:t>)</w:t>
      </w:r>
    </w:p>
    <w:p w:rsidR="00DD1E31" w:rsidRPr="00B8320D" w:rsidRDefault="00DD1E31" w:rsidP="00DD1E31">
      <w:pPr>
        <w:spacing w:line="360" w:lineRule="auto"/>
        <w:ind w:firstLineChars="100" w:firstLine="240"/>
        <w:jc w:val="right"/>
        <w:textAlignment w:val="center"/>
        <w:rPr>
          <w:sz w:val="24"/>
        </w:rPr>
      </w:pPr>
      <w:r w:rsidRPr="00B8320D">
        <w:rPr>
          <w:sz w:val="24"/>
        </w:rPr>
        <w:object w:dxaOrig="4900" w:dyaOrig="740">
          <v:shape id="_x0000_i1037" type="#_x0000_t75" style="width:252pt;height:36pt" o:ole="">
            <v:imagedata r:id="rId28" o:title=""/>
          </v:shape>
          <o:OLEObject Type="Embed" ProgID="Equation.DSMT4" ShapeID="_x0000_i1037" DrawAspect="Content" ObjectID="_1710579472" r:id="rId29"/>
        </w:object>
      </w:r>
      <w:r w:rsidRPr="00B8320D">
        <w:rPr>
          <w:rFonts w:hint="eastAsia"/>
          <w:sz w:val="24"/>
        </w:rPr>
        <w:t xml:space="preserve"> </w:t>
      </w:r>
      <w:r w:rsidRPr="00B8320D">
        <w:rPr>
          <w:sz w:val="24"/>
        </w:rPr>
        <w:t xml:space="preserve">             </w:t>
      </w:r>
      <w:r w:rsidRPr="00B8320D">
        <w:rPr>
          <w:rFonts w:hint="eastAsia"/>
          <w:sz w:val="24"/>
        </w:rPr>
        <w:t>(</w:t>
      </w:r>
      <w:r w:rsidRPr="00B8320D">
        <w:rPr>
          <w:sz w:val="24"/>
        </w:rPr>
        <w:t>A3</w:t>
      </w:r>
      <w:r w:rsidRPr="00B8320D">
        <w:rPr>
          <w:rFonts w:hint="eastAsia"/>
          <w:sz w:val="24"/>
        </w:rPr>
        <w:t xml:space="preserve">)     </w:t>
      </w:r>
      <w:r w:rsidRPr="00B8320D">
        <w:rPr>
          <w:sz w:val="24"/>
        </w:rPr>
        <w:t xml:space="preserve">           </w:t>
      </w:r>
      <w:r w:rsidRPr="00B8320D">
        <w:rPr>
          <w:rFonts w:hint="eastAsia"/>
          <w:sz w:val="24"/>
        </w:rPr>
        <w:t xml:space="preserve">           </w:t>
      </w:r>
    </w:p>
    <w:p w:rsidR="00DD1E31" w:rsidRPr="00B8320D" w:rsidRDefault="00DD1E31" w:rsidP="00DD1E31">
      <w:pPr>
        <w:spacing w:line="360" w:lineRule="auto"/>
        <w:ind w:firstLineChars="100" w:firstLine="240"/>
        <w:textAlignment w:val="center"/>
        <w:rPr>
          <w:sz w:val="24"/>
        </w:rPr>
      </w:pPr>
      <w:r w:rsidRPr="00B8320D">
        <w:rPr>
          <w:rFonts w:hint="eastAsia"/>
          <w:sz w:val="24"/>
        </w:rPr>
        <w:t>Fib</w:t>
      </w:r>
      <w:r w:rsidRPr="00B8320D">
        <w:rPr>
          <w:sz w:val="24"/>
        </w:rPr>
        <w:t>r</w:t>
      </w:r>
      <w:r w:rsidRPr="00B8320D">
        <w:rPr>
          <w:rFonts w:hint="eastAsia"/>
          <w:sz w:val="24"/>
        </w:rPr>
        <w:t>e compression (</w:t>
      </w:r>
      <w:r w:rsidRPr="00B8320D">
        <w:rPr>
          <w:sz w:val="24"/>
        </w:rPr>
        <w:object w:dxaOrig="620" w:dyaOrig="360">
          <v:shape id="_x0000_i1038" type="#_x0000_t75" style="width:30pt;height:18pt" o:ole="">
            <v:imagedata r:id="rId30" o:title=""/>
          </v:shape>
          <o:OLEObject Type="Embed" ProgID="Equation.DSMT4" ShapeID="_x0000_i1038" DrawAspect="Content" ObjectID="_1710579473" r:id="rId31"/>
        </w:object>
      </w:r>
      <w:r w:rsidRPr="00B8320D">
        <w:rPr>
          <w:rFonts w:hint="eastAsia"/>
          <w:sz w:val="24"/>
        </w:rPr>
        <w:t>,</w:t>
      </w:r>
      <w:r w:rsidRPr="00B8320D">
        <w:rPr>
          <w:sz w:val="24"/>
        </w:rPr>
        <w:object w:dxaOrig="680" w:dyaOrig="360">
          <v:shape id="_x0000_i1039" type="#_x0000_t75" style="width:36pt;height:18pt" o:ole="">
            <v:imagedata r:id="rId32" o:title=""/>
          </v:shape>
          <o:OLEObject Type="Embed" ProgID="Equation.DSMT4" ShapeID="_x0000_i1039" DrawAspect="Content" ObjectID="_1710579474" r:id="rId33"/>
        </w:object>
      </w:r>
      <w:r w:rsidRPr="00B8320D">
        <w:rPr>
          <w:rFonts w:hint="eastAsia"/>
          <w:sz w:val="24"/>
        </w:rPr>
        <w:t>)</w:t>
      </w:r>
    </w:p>
    <w:p w:rsidR="00DD1E31" w:rsidRPr="00B8320D" w:rsidRDefault="00DD1E31" w:rsidP="00DD1E31">
      <w:pPr>
        <w:spacing w:line="360" w:lineRule="auto"/>
        <w:ind w:firstLineChars="100" w:firstLine="240"/>
        <w:jc w:val="right"/>
        <w:textAlignment w:val="center"/>
        <w:rPr>
          <w:sz w:val="24"/>
        </w:rPr>
      </w:pPr>
      <w:r w:rsidRPr="00B8320D">
        <w:rPr>
          <w:sz w:val="24"/>
        </w:rPr>
        <w:object w:dxaOrig="3500" w:dyaOrig="740">
          <v:shape id="_x0000_i1040" type="#_x0000_t75" style="width:174pt;height:36pt" o:ole="">
            <v:imagedata r:id="rId34" o:title=""/>
          </v:shape>
          <o:OLEObject Type="Embed" ProgID="Equation.DSMT4" ShapeID="_x0000_i1040" DrawAspect="Content" ObjectID="_1710579475" r:id="rId35"/>
        </w:object>
      </w:r>
      <w:r w:rsidRPr="00B8320D">
        <w:rPr>
          <w:rFonts w:hint="eastAsia"/>
          <w:sz w:val="24"/>
        </w:rPr>
        <w:t xml:space="preserve"> </w:t>
      </w:r>
      <w:r w:rsidRPr="00B8320D">
        <w:rPr>
          <w:sz w:val="24"/>
        </w:rPr>
        <w:t xml:space="preserve">                     </w:t>
      </w:r>
      <w:r w:rsidRPr="00B8320D">
        <w:rPr>
          <w:rFonts w:hint="eastAsia"/>
          <w:sz w:val="24"/>
        </w:rPr>
        <w:t>(</w:t>
      </w:r>
      <w:r w:rsidRPr="00B8320D">
        <w:rPr>
          <w:sz w:val="24"/>
        </w:rPr>
        <w:t>A4)</w:t>
      </w:r>
    </w:p>
    <w:p w:rsidR="00DD1E31" w:rsidRPr="00B8320D" w:rsidRDefault="00DD1E31" w:rsidP="00DD1E31">
      <w:pPr>
        <w:spacing w:line="360" w:lineRule="auto"/>
        <w:ind w:firstLineChars="100" w:firstLine="240"/>
        <w:textAlignment w:val="center"/>
        <w:rPr>
          <w:sz w:val="24"/>
        </w:rPr>
      </w:pPr>
      <w:r w:rsidRPr="00B8320D">
        <w:rPr>
          <w:rFonts w:hint="eastAsia"/>
          <w:sz w:val="24"/>
        </w:rPr>
        <w:t>Matrix tension (</w:t>
      </w:r>
      <w:r w:rsidRPr="00B8320D">
        <w:rPr>
          <w:sz w:val="24"/>
        </w:rPr>
        <w:object w:dxaOrig="740" w:dyaOrig="360">
          <v:shape id="_x0000_i1041" type="#_x0000_t75" style="width:36pt;height:18pt" o:ole="">
            <v:imagedata r:id="rId36" o:title=""/>
          </v:shape>
          <o:OLEObject Type="Embed" ProgID="Equation.DSMT4" ShapeID="_x0000_i1041" DrawAspect="Content" ObjectID="_1710579476" r:id="rId37"/>
        </w:object>
      </w:r>
      <w:r w:rsidRPr="00B8320D">
        <w:rPr>
          <w:rFonts w:hint="eastAsia"/>
          <w:sz w:val="24"/>
        </w:rPr>
        <w:t>,</w:t>
      </w:r>
      <w:r w:rsidRPr="00B8320D">
        <w:rPr>
          <w:sz w:val="24"/>
        </w:rPr>
        <w:object w:dxaOrig="700" w:dyaOrig="360">
          <v:shape id="_x0000_i1042" type="#_x0000_t75" style="width:36pt;height:18pt" o:ole="">
            <v:imagedata r:id="rId38" o:title=""/>
          </v:shape>
          <o:OLEObject Type="Embed" ProgID="Equation.DSMT4" ShapeID="_x0000_i1042" DrawAspect="Content" ObjectID="_1710579477" r:id="rId39"/>
        </w:object>
      </w:r>
      <w:r w:rsidRPr="00B8320D">
        <w:rPr>
          <w:rFonts w:hint="eastAsia"/>
          <w:sz w:val="24"/>
        </w:rPr>
        <w:t>)</w:t>
      </w:r>
    </w:p>
    <w:p w:rsidR="00DD1E31" w:rsidRPr="00B8320D" w:rsidRDefault="00DD1E31" w:rsidP="00DD1E31">
      <w:pPr>
        <w:spacing w:line="360" w:lineRule="auto"/>
        <w:ind w:firstLineChars="100" w:firstLine="240"/>
        <w:jc w:val="right"/>
        <w:textAlignment w:val="center"/>
        <w:rPr>
          <w:sz w:val="24"/>
        </w:rPr>
      </w:pPr>
      <w:r w:rsidRPr="00B8320D">
        <w:rPr>
          <w:sz w:val="24"/>
        </w:rPr>
        <w:object w:dxaOrig="4760" w:dyaOrig="740">
          <v:shape id="_x0000_i1043" type="#_x0000_t75" style="width:240pt;height:36pt" o:ole="">
            <v:imagedata r:id="rId40" o:title=""/>
          </v:shape>
          <o:OLEObject Type="Embed" ProgID="Equation.DSMT4" ShapeID="_x0000_i1043" DrawAspect="Content" ObjectID="_1710579478" r:id="rId41"/>
        </w:object>
      </w:r>
      <w:r w:rsidRPr="00B8320D">
        <w:rPr>
          <w:rFonts w:hint="eastAsia"/>
          <w:sz w:val="24"/>
        </w:rPr>
        <w:t xml:space="preserve"> </w:t>
      </w:r>
      <w:r w:rsidRPr="00B8320D">
        <w:rPr>
          <w:sz w:val="24"/>
        </w:rPr>
        <w:t xml:space="preserve">             </w:t>
      </w:r>
      <w:r w:rsidRPr="00B8320D">
        <w:rPr>
          <w:rFonts w:hint="eastAsia"/>
          <w:sz w:val="24"/>
        </w:rPr>
        <w:t>(</w:t>
      </w:r>
      <w:r w:rsidRPr="00B8320D">
        <w:rPr>
          <w:sz w:val="24"/>
        </w:rPr>
        <w:t>A5</w:t>
      </w:r>
      <w:r w:rsidRPr="00B8320D">
        <w:rPr>
          <w:rFonts w:hint="eastAsia"/>
          <w:sz w:val="24"/>
        </w:rPr>
        <w:t xml:space="preserve">)        </w:t>
      </w:r>
      <w:r w:rsidRPr="00B8320D">
        <w:rPr>
          <w:sz w:val="24"/>
        </w:rPr>
        <w:t xml:space="preserve">            </w:t>
      </w:r>
      <w:r w:rsidRPr="00B8320D">
        <w:rPr>
          <w:rFonts w:hint="eastAsia"/>
          <w:sz w:val="24"/>
        </w:rPr>
        <w:t xml:space="preserve">       </w:t>
      </w:r>
    </w:p>
    <w:p w:rsidR="00DD1E31" w:rsidRPr="00B8320D" w:rsidRDefault="00DD1E31" w:rsidP="00DD1E31">
      <w:pPr>
        <w:spacing w:line="360" w:lineRule="auto"/>
        <w:ind w:firstLineChars="100" w:firstLine="240"/>
        <w:textAlignment w:val="center"/>
        <w:rPr>
          <w:sz w:val="24"/>
        </w:rPr>
      </w:pPr>
      <w:r w:rsidRPr="00B8320D">
        <w:rPr>
          <w:rFonts w:hint="eastAsia"/>
          <w:sz w:val="24"/>
        </w:rPr>
        <w:t>Matrix compression (</w:t>
      </w:r>
      <w:r w:rsidRPr="00B8320D">
        <w:rPr>
          <w:sz w:val="24"/>
        </w:rPr>
        <w:object w:dxaOrig="740" w:dyaOrig="360">
          <v:shape id="_x0000_i1044" type="#_x0000_t75" style="width:36pt;height:18pt" o:ole="">
            <v:imagedata r:id="rId42" o:title=""/>
          </v:shape>
          <o:OLEObject Type="Embed" ProgID="Equation.DSMT4" ShapeID="_x0000_i1044" DrawAspect="Content" ObjectID="_1710579479" r:id="rId43"/>
        </w:object>
      </w:r>
      <w:r w:rsidRPr="00B8320D">
        <w:rPr>
          <w:rFonts w:hint="eastAsia"/>
          <w:sz w:val="24"/>
        </w:rPr>
        <w:t>,</w:t>
      </w:r>
      <w:r w:rsidRPr="00B8320D">
        <w:rPr>
          <w:sz w:val="24"/>
        </w:rPr>
        <w:object w:dxaOrig="700" w:dyaOrig="360">
          <v:shape id="_x0000_i1045" type="#_x0000_t75" style="width:36pt;height:18pt" o:ole="">
            <v:imagedata r:id="rId44" o:title=""/>
          </v:shape>
          <o:OLEObject Type="Embed" ProgID="Equation.DSMT4" ShapeID="_x0000_i1045" DrawAspect="Content" ObjectID="_1710579480" r:id="rId45"/>
        </w:object>
      </w:r>
      <w:r w:rsidRPr="00B8320D">
        <w:rPr>
          <w:rFonts w:hint="eastAsia"/>
          <w:sz w:val="24"/>
        </w:rPr>
        <w:t>)</w:t>
      </w:r>
    </w:p>
    <w:p w:rsidR="00DD1E31" w:rsidRPr="00B8320D" w:rsidRDefault="00DD1E31" w:rsidP="00DD1E31">
      <w:pPr>
        <w:spacing w:line="360" w:lineRule="auto"/>
        <w:ind w:firstLineChars="100" w:firstLine="240"/>
        <w:jc w:val="right"/>
        <w:textAlignment w:val="center"/>
        <w:rPr>
          <w:sz w:val="24"/>
        </w:rPr>
      </w:pPr>
      <w:r w:rsidRPr="00B8320D">
        <w:rPr>
          <w:rFonts w:hint="eastAsia"/>
          <w:sz w:val="24"/>
        </w:rPr>
        <w:t xml:space="preserve">   </w:t>
      </w:r>
      <w:r w:rsidRPr="00B8320D">
        <w:rPr>
          <w:sz w:val="24"/>
        </w:rPr>
        <w:object w:dxaOrig="5200" w:dyaOrig="740">
          <v:shape id="_x0000_i1046" type="#_x0000_t75" style="width:258pt;height:36pt" o:ole="">
            <v:imagedata r:id="rId46" o:title=""/>
          </v:shape>
          <o:OLEObject Type="Embed" ProgID="Equation.DSMT4" ShapeID="_x0000_i1046" DrawAspect="Content" ObjectID="_1710579481" r:id="rId47"/>
        </w:object>
      </w:r>
      <w:r w:rsidRPr="00B8320D">
        <w:rPr>
          <w:rFonts w:hint="eastAsia"/>
          <w:sz w:val="24"/>
        </w:rPr>
        <w:t xml:space="preserve"> </w:t>
      </w:r>
      <w:r w:rsidRPr="00B8320D">
        <w:rPr>
          <w:sz w:val="24"/>
        </w:rPr>
        <w:t xml:space="preserve">            </w:t>
      </w:r>
      <w:r w:rsidRPr="00B8320D">
        <w:rPr>
          <w:rFonts w:hint="eastAsia"/>
          <w:sz w:val="24"/>
        </w:rPr>
        <w:t>(</w:t>
      </w:r>
      <w:r w:rsidRPr="00B8320D">
        <w:rPr>
          <w:sz w:val="24"/>
        </w:rPr>
        <w:t>A6</w:t>
      </w:r>
      <w:r w:rsidRPr="00B8320D">
        <w:rPr>
          <w:rFonts w:hint="eastAsia"/>
          <w:sz w:val="24"/>
        </w:rPr>
        <w:t xml:space="preserve">)          </w:t>
      </w:r>
      <w:r w:rsidRPr="00B8320D">
        <w:rPr>
          <w:sz w:val="24"/>
        </w:rPr>
        <w:t xml:space="preserve">     </w:t>
      </w:r>
      <w:r w:rsidRPr="00B8320D">
        <w:rPr>
          <w:rFonts w:hint="eastAsia"/>
          <w:sz w:val="24"/>
        </w:rPr>
        <w:t xml:space="preserve">           </w:t>
      </w:r>
    </w:p>
    <w:p w:rsidR="00DD1E31" w:rsidRPr="00B8320D" w:rsidRDefault="00DD1E31" w:rsidP="00DD1E31">
      <w:pPr>
        <w:spacing w:line="360" w:lineRule="auto"/>
        <w:contextualSpacing/>
        <w:textAlignment w:val="center"/>
        <w:rPr>
          <w:sz w:val="24"/>
        </w:rPr>
      </w:pPr>
      <w:r w:rsidRPr="00B8320D">
        <w:rPr>
          <w:sz w:val="24"/>
        </w:rPr>
        <w:t>w</w:t>
      </w:r>
      <w:r w:rsidRPr="00B8320D">
        <w:rPr>
          <w:rFonts w:hint="eastAsia"/>
          <w:sz w:val="24"/>
        </w:rPr>
        <w:t xml:space="preserve">here </w:t>
      </w:r>
      <w:r w:rsidRPr="00B8320D">
        <w:rPr>
          <w:rFonts w:hint="eastAsia"/>
          <w:i/>
          <w:sz w:val="24"/>
        </w:rPr>
        <w:t>L</w:t>
      </w:r>
      <w:r w:rsidRPr="00B8320D">
        <w:rPr>
          <w:rFonts w:hint="eastAsia"/>
          <w:sz w:val="24"/>
          <w:vertAlign w:val="subscript"/>
        </w:rPr>
        <w:t>c</w:t>
      </w:r>
      <w:r w:rsidRPr="00B8320D">
        <w:rPr>
          <w:rFonts w:hint="eastAsia"/>
          <w:sz w:val="24"/>
        </w:rPr>
        <w:t xml:space="preserve">, the characteristic length, is </w:t>
      </w:r>
      <w:r w:rsidRPr="00B8320D">
        <w:rPr>
          <w:sz w:val="24"/>
        </w:rPr>
        <w:t>determined by</w:t>
      </w:r>
      <w:r w:rsidRPr="00B8320D">
        <w:rPr>
          <w:rFonts w:hint="eastAsia"/>
          <w:sz w:val="24"/>
        </w:rPr>
        <w:t xml:space="preserve"> the element geometry and introduced to normali</w:t>
      </w:r>
      <w:r w:rsidRPr="00B8320D">
        <w:rPr>
          <w:sz w:val="24"/>
        </w:rPr>
        <w:t>s</w:t>
      </w:r>
      <w:r w:rsidRPr="00B8320D">
        <w:rPr>
          <w:rFonts w:hint="eastAsia"/>
          <w:sz w:val="24"/>
        </w:rPr>
        <w:t xml:space="preserve">e the elements with different </w:t>
      </w:r>
      <w:r w:rsidRPr="00B8320D">
        <w:rPr>
          <w:sz w:val="24"/>
        </w:rPr>
        <w:t xml:space="preserve">size </w:t>
      </w:r>
      <w:r w:rsidRPr="00B8320D">
        <w:rPr>
          <w:rFonts w:hint="eastAsia"/>
          <w:sz w:val="24"/>
        </w:rPr>
        <w:t>ranges</w:t>
      </w:r>
      <w:r w:rsidRPr="00B8320D">
        <w:rPr>
          <w:sz w:val="24"/>
        </w:rPr>
        <w:t xml:space="preserve"> and </w:t>
      </w:r>
      <w:r w:rsidRPr="00B8320D">
        <w:rPr>
          <w:i/>
          <w:sz w:val="24"/>
        </w:rPr>
        <w:t>ε</w:t>
      </w:r>
      <w:r w:rsidRPr="00B8320D">
        <w:rPr>
          <w:sz w:val="24"/>
          <w:vertAlign w:val="subscript"/>
        </w:rPr>
        <w:t>11</w:t>
      </w:r>
      <w:r w:rsidRPr="00B8320D">
        <w:rPr>
          <w:rFonts w:hint="eastAsia"/>
          <w:sz w:val="24"/>
        </w:rPr>
        <w:t>,</w:t>
      </w:r>
      <w:r w:rsidRPr="00B8320D">
        <w:rPr>
          <w:sz w:val="24"/>
        </w:rPr>
        <w:t xml:space="preserve"> </w:t>
      </w:r>
      <w:r w:rsidRPr="00B8320D">
        <w:rPr>
          <w:i/>
          <w:sz w:val="24"/>
        </w:rPr>
        <w:t>ε</w:t>
      </w:r>
      <w:r w:rsidRPr="00B8320D">
        <w:rPr>
          <w:sz w:val="24"/>
          <w:vertAlign w:val="subscript"/>
        </w:rPr>
        <w:t>22</w:t>
      </w:r>
      <w:r w:rsidRPr="00B8320D">
        <w:rPr>
          <w:sz w:val="24"/>
        </w:rPr>
        <w:t xml:space="preserve"> and</w:t>
      </w:r>
      <w:r w:rsidRPr="00B8320D">
        <w:rPr>
          <w:i/>
          <w:sz w:val="24"/>
        </w:rPr>
        <w:t xml:space="preserve"> ε</w:t>
      </w:r>
      <w:r w:rsidRPr="00B8320D">
        <w:rPr>
          <w:sz w:val="24"/>
          <w:vertAlign w:val="subscript"/>
        </w:rPr>
        <w:t xml:space="preserve">12 </w:t>
      </w:r>
      <w:r w:rsidRPr="00B8320D">
        <w:rPr>
          <w:sz w:val="24"/>
        </w:rPr>
        <w:t xml:space="preserve">are the elastic strain. Accordingly, such a bilinear equivalent stress-strain model for the failure initiation and evolution of the 3D-printed CCF/PA composites is then applied with continuum damage mechanics in current modelling. </w:t>
      </w:r>
    </w:p>
    <w:p w:rsidR="00000F57" w:rsidRDefault="00DD1E31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E31"/>
    <w:rsid w:val="0007695B"/>
    <w:rsid w:val="005615C6"/>
    <w:rsid w:val="005E078B"/>
    <w:rsid w:val="007D4061"/>
    <w:rsid w:val="008B4EED"/>
    <w:rsid w:val="00B03778"/>
    <w:rsid w:val="00CD1A17"/>
    <w:rsid w:val="00DD1E31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8C6676-8038-4BC5-A334-BC4510CA3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E3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rsid w:val="00DD1E31"/>
    <w:pPr>
      <w:widowControl/>
      <w:spacing w:line="360" w:lineRule="auto"/>
    </w:pPr>
    <w:rPr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3022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2022-04-04T06:40:00Z</dcterms:created>
  <dcterms:modified xsi:type="dcterms:W3CDTF">2022-04-04T06:40:00Z</dcterms:modified>
</cp:coreProperties>
</file>